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3FE" w14:textId="16A9BE19" w:rsidR="00F76774" w:rsidRDefault="008A2E93" w:rsidP="00032C64">
      <w:pPr>
        <w:pStyle w:val="Heading1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25760F8C" wp14:editId="101D4CCF">
            <wp:extent cx="6858000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930E" w14:textId="3B625B26" w:rsidR="00032C64" w:rsidRDefault="008A2E93" w:rsidP="00032C64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MLA ‘21</w:t>
      </w:r>
      <w:r w:rsidR="000C3892">
        <w:rPr>
          <w:rFonts w:eastAsia="Times New Roman"/>
        </w:rPr>
        <w:t>: My Case to Attend</w:t>
      </w:r>
      <w:r w:rsidR="00032C64">
        <w:rPr>
          <w:rFonts w:eastAsia="Times New Roman"/>
        </w:rPr>
        <w:t xml:space="preserve"> Worksheet</w:t>
      </w:r>
    </w:p>
    <w:p w14:paraId="4757557A" w14:textId="77777777" w:rsidR="009106B4" w:rsidRDefault="009106B4" w:rsidP="009106B4">
      <w:pPr>
        <w:rPr>
          <w:shd w:val="clear" w:color="auto" w:fill="FFFFFF"/>
        </w:rPr>
      </w:pPr>
    </w:p>
    <w:p w14:paraId="4437EEB6" w14:textId="2B6C98D4" w:rsidR="009106B4" w:rsidRDefault="00E37C81" w:rsidP="009106B4">
      <w:pPr>
        <w:rPr>
          <w:shd w:val="clear" w:color="auto" w:fill="FFFFFF"/>
        </w:rPr>
      </w:pPr>
      <w:r>
        <w:rPr>
          <w:shd w:val="clear" w:color="auto" w:fill="FFFFFF"/>
        </w:rPr>
        <w:t>Gather the</w:t>
      </w:r>
      <w:r w:rsidR="009106B4">
        <w:rPr>
          <w:shd w:val="clear" w:color="auto" w:fill="FFFFFF"/>
        </w:rPr>
        <w:t xml:space="preserve"> evidence to support your attendance at </w:t>
      </w:r>
      <w:r w:rsidR="00CE0EAA">
        <w:rPr>
          <w:shd w:val="clear" w:color="auto" w:fill="FFFFFF"/>
        </w:rPr>
        <w:t xml:space="preserve">the </w:t>
      </w:r>
      <w:r w:rsidR="008A2E93">
        <w:rPr>
          <w:shd w:val="clear" w:color="auto" w:fill="FFFFFF"/>
        </w:rPr>
        <w:t>MLA ‘21</w:t>
      </w:r>
      <w:r w:rsidR="00CE0EAA">
        <w:rPr>
          <w:shd w:val="clear" w:color="auto" w:fill="FFFFFF"/>
        </w:rPr>
        <w:t xml:space="preserve"> vConference &amp; Exhibits</w:t>
      </w:r>
      <w:r>
        <w:rPr>
          <w:shd w:val="clear" w:color="auto" w:fill="FFFFFF"/>
        </w:rPr>
        <w:t>!</w:t>
      </w:r>
      <w:r w:rsidR="009106B4">
        <w:rPr>
          <w:shd w:val="clear" w:color="auto" w:fill="FFFFFF"/>
        </w:rPr>
        <w:t xml:space="preserve"> </w:t>
      </w:r>
    </w:p>
    <w:p w14:paraId="60603D62" w14:textId="47D22AAB" w:rsidR="003E59AC" w:rsidRDefault="009106B4" w:rsidP="00BA5853">
      <w:pPr>
        <w:pStyle w:val="Heading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Possible</w:t>
      </w:r>
      <w:r w:rsidR="00BA5853">
        <w:rPr>
          <w:rFonts w:eastAsia="Times New Roman"/>
          <w:shd w:val="clear" w:color="auto" w:fill="FFFFFF"/>
        </w:rPr>
        <w:t xml:space="preserve"> Talking Points</w:t>
      </w:r>
    </w:p>
    <w:p w14:paraId="436C0F37" w14:textId="42FCA7A4" w:rsidR="00727699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My main reasons for attending </w:t>
      </w:r>
      <w:r w:rsidR="008A2E9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‘21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are</w:t>
      </w:r>
      <w:proofErr w:type="gramEnd"/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to benefit from the educational and networking opportunities, as well as innovation and inspiration at the conference</w:t>
      </w:r>
      <w:r w:rsidR="00727699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.</w:t>
      </w:r>
    </w:p>
    <w:p w14:paraId="6ABBB72D" w14:textId="77777777" w:rsidR="009106B4" w:rsidRDefault="009106B4" w:rsidP="00727699">
      <w:pPr>
        <w:rPr>
          <w:sz w:val="24"/>
          <w:szCs w:val="24"/>
        </w:rPr>
      </w:pPr>
    </w:p>
    <w:p w14:paraId="14DEB140" w14:textId="4D3AF268" w:rsidR="00727699" w:rsidRPr="007B0028" w:rsidRDefault="00727699" w:rsidP="00727699">
      <w:pPr>
        <w:rPr>
          <w:sz w:val="24"/>
          <w:szCs w:val="24"/>
        </w:rPr>
      </w:pPr>
      <w:r w:rsidRPr="007B0028">
        <w:rPr>
          <w:sz w:val="24"/>
          <w:szCs w:val="24"/>
        </w:rPr>
        <w:t xml:space="preserve">I </w:t>
      </w:r>
      <w:r>
        <w:rPr>
          <w:sz w:val="24"/>
          <w:szCs w:val="24"/>
        </w:rPr>
        <w:t>have been accepted to present</w:t>
      </w:r>
      <w:r w:rsidRPr="007B0028">
        <w:rPr>
          <w:sz w:val="24"/>
          <w:szCs w:val="24"/>
        </w:rPr>
        <w:t xml:space="preserve"> a</w:t>
      </w:r>
      <w:r>
        <w:rPr>
          <w:sz w:val="24"/>
          <w:szCs w:val="24"/>
        </w:rPr>
        <w:t>/a</w:t>
      </w:r>
      <w:r w:rsidRPr="007B0028">
        <w:rPr>
          <w:sz w:val="24"/>
          <w:szCs w:val="24"/>
        </w:rPr>
        <w:t xml:space="preserve">n </w:t>
      </w:r>
      <w:r w:rsidR="00E37C81">
        <w:rPr>
          <w:sz w:val="24"/>
          <w:szCs w:val="24"/>
        </w:rPr>
        <w:t>[</w:t>
      </w:r>
      <w:r w:rsidRPr="007B0028">
        <w:rPr>
          <w:sz w:val="24"/>
          <w:szCs w:val="24"/>
        </w:rPr>
        <w:t>Immersion Session, P</w:t>
      </w:r>
      <w:r>
        <w:rPr>
          <w:sz w:val="24"/>
          <w:szCs w:val="24"/>
        </w:rPr>
        <w:t>aper, Poster, Lightning Talk</w:t>
      </w:r>
      <w:r w:rsidR="00E37C81">
        <w:rPr>
          <w:sz w:val="24"/>
          <w:szCs w:val="24"/>
        </w:rPr>
        <w:t>]</w:t>
      </w:r>
      <w:r>
        <w:rPr>
          <w:sz w:val="24"/>
          <w:szCs w:val="24"/>
        </w:rPr>
        <w:t xml:space="preserve"> about</w:t>
      </w:r>
      <w:r w:rsidRPr="007B0028">
        <w:rPr>
          <w:sz w:val="24"/>
          <w:szCs w:val="24"/>
        </w:rPr>
        <w:t>:</w:t>
      </w:r>
    </w:p>
    <w:p w14:paraId="7C9A5B67" w14:textId="77777777" w:rsidR="00727699" w:rsidRDefault="00727699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48B187C3" w14:textId="77777777" w:rsidR="00727699" w:rsidRDefault="00727699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4BBAD92" w14:textId="77777777" w:rsidR="009106B4" w:rsidRDefault="009106B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0E29F043" w14:textId="0740718E" w:rsidR="00032C64" w:rsidRDefault="00727699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My attendance at the </w:t>
      </w:r>
      <w:r w:rsidR="00CE0EAA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vConference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will provide me with access to sessions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that will help me complete the following projects: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="00032C6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Enter details of upcoming 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or ongoing </w:t>
      </w:r>
      <w:r w:rsidR="00032C6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projects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,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plus some session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s that might help you with good ideas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or colleagues from whom you would like to learn more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:</w:t>
      </w:r>
    </w:p>
    <w:p w14:paraId="3229FBF2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0FB34171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6AE24D50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18EBB52F" w14:textId="23095BFE" w:rsidR="00032C64" w:rsidRDefault="00032C64" w:rsidP="00F76774">
      <w:pPr>
        <w:spacing w:after="200" w:line="276" w:lineRule="auto"/>
        <w:ind w:right="-270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I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need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to meet with the following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vendors with whom we already do business at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8A2E9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‘21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virtual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exhibits because…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Choose the most relevant exhibitors for your department from the </w:t>
      </w:r>
      <w:r w:rsidR="008A2E93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MLA ‘21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exhibitor list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and why you want to meet with them</w:t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Maybe you have an access problem they can help solve, or you want to see an upgrade of something you currently license. </w:t>
      </w:r>
      <w:r w:rsidR="003E59AC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FOR EXAMPLE, m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aybe one of them is doing a S</w:t>
      </w:r>
      <w:r w:rsidR="00CE0EAA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olutions 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Showcase session that relates to your question.</w:t>
      </w:r>
    </w:p>
    <w:p w14:paraId="06BCD7EC" w14:textId="6D3894AD" w:rsidR="000C3892" w:rsidRDefault="000C3892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2EAC91E2" w14:textId="77777777" w:rsidR="000179D3" w:rsidRDefault="000179D3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06BDCD24" w14:textId="4DAB6CF9" w:rsidR="00032C64" w:rsidRDefault="00032C64" w:rsidP="00032C64">
      <w:pPr>
        <w:spacing w:after="200" w:line="240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I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want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to meet with the following potential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vendors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during the </w:t>
      </w:r>
      <w:r w:rsidR="008A2E9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‘21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Ex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hibition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because…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Choose the most relevant exhibitors for your department from the </w:t>
      </w:r>
      <w:r w:rsidR="008A2E93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MLA ‘21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exhibitor list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along with the reasons </w:t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why you want to meet with them.</w:t>
      </w:r>
      <w:r w:rsidR="003E59AC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4139C401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0212DAF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3E26BD0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1FB8DFC4" w14:textId="4A89F105" w:rsidR="00032C64" w:rsidRDefault="008A2E93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‘21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provides a wide range of networking opportunities allowing me to connect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and develop relationships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with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my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colleagues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in the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profession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. Events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that will help me connect include: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="00032C64"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Explore the </w:t>
      </w:r>
      <w:r w:rsidR="00032C64" w:rsidRPr="00F5218D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networking opportunities at </w:t>
      </w:r>
      <w:r w:rsidR="00CE0EAA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the </w:t>
      </w:r>
      <w:r>
        <w:rPr>
          <w:rFonts w:eastAsia="Times New Roman" w:cs="Arial"/>
          <w:bCs/>
          <w:i/>
          <w:sz w:val="24"/>
          <w:szCs w:val="24"/>
          <w:shd w:val="clear" w:color="auto" w:fill="FFFFFF"/>
        </w:rPr>
        <w:t>MLA ‘21</w:t>
      </w:r>
      <w:r w:rsidR="003E59AC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vConference </w:t>
      </w:r>
      <w:r w:rsidR="003E59AC">
        <w:rPr>
          <w:rFonts w:eastAsia="Times New Roman" w:cs="Arial"/>
          <w:bCs/>
          <w:i/>
          <w:sz w:val="24"/>
          <w:szCs w:val="24"/>
          <w:shd w:val="clear" w:color="auto" w:fill="FFFFFF"/>
        </w:rPr>
        <w:t>and identify those that might be the most helpful</w:t>
      </w:r>
      <w:r w:rsidR="00032C64"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9106B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FOR EXAMPLE: “Because I am new to the profession and to MLA, I need to connect with other newer librarians at MLA’s New Member/First Timer Program. I can also get a meeting mentor</w:t>
      </w:r>
      <w:r w:rsidR="00072B6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and get help with my ongoing professional development plan.</w:t>
      </w:r>
      <w:r w:rsidR="009106B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”</w:t>
      </w:r>
    </w:p>
    <w:p w14:paraId="126D148F" w14:textId="77777777" w:rsidR="00032C64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DBA67D2" w14:textId="77777777" w:rsidR="00032C64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9A2D65E" w14:textId="77777777" w:rsidR="007B0028" w:rsidRDefault="007B0028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32DD421" w14:textId="6853B32F" w:rsidR="00032C64" w:rsidRDefault="00032C6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This year’s educational program at </w:t>
      </w:r>
      <w:r w:rsidR="008A2E9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‘21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vConference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includes sessions touching on several important topics for our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library/institution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. After</w:t>
      </w:r>
      <w:r w:rsidRPr="001645C6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reviewing the conference schedule, I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want to attend the following</w:t>
      </w:r>
      <w:r w:rsidRPr="001645C6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sessions that will allow me to learn about best practices in</w:t>
      </w:r>
      <w:r w:rsidR="00A62851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…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Explore the </w:t>
      </w:r>
      <w:r w:rsidR="00A62851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continuing education courses and Immersion S</w:t>
      </w:r>
      <w:r w:rsidRPr="00F5218D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essions at </w:t>
      </w:r>
      <w:r w:rsidR="008A2E93">
        <w:rPr>
          <w:rFonts w:eastAsia="Times New Roman" w:cs="Arial"/>
          <w:bCs/>
          <w:i/>
          <w:sz w:val="24"/>
          <w:szCs w:val="24"/>
          <w:shd w:val="clear" w:color="auto" w:fill="FFFFFF"/>
        </w:rPr>
        <w:t>MLA ‘21</w:t>
      </w:r>
      <w:r w:rsidR="00F76774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vConference </w:t>
      </w:r>
      <w:r w:rsidR="00F76774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and prioritize those 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that </w:t>
      </w:r>
      <w:r w:rsidR="00A62851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are most relevant to your role, 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your </w:t>
      </w:r>
      <w:r w:rsidR="00A62851">
        <w:rPr>
          <w:rFonts w:eastAsia="Times New Roman" w:cs="Arial"/>
          <w:bCs/>
          <w:i/>
          <w:sz w:val="24"/>
          <w:szCs w:val="24"/>
          <w:shd w:val="clear" w:color="auto" w:fill="FFFFFF"/>
        </w:rPr>
        <w:t>library,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or your institution</w:t>
      </w:r>
      <w:r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1389DD20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2AF4C0FC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393E35DF" w14:textId="3707C08F" w:rsidR="00F76774" w:rsidRDefault="00BA5853" w:rsidP="00727699">
      <w:pPr>
        <w:pStyle w:val="Heading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Other </w:t>
      </w:r>
      <w:r w:rsidR="00727699">
        <w:rPr>
          <w:rFonts w:eastAsia="Times New Roman"/>
          <w:shd w:val="clear" w:color="auto" w:fill="FFFFFF"/>
        </w:rPr>
        <w:t>Talking Points</w:t>
      </w:r>
    </w:p>
    <w:p w14:paraId="663683C5" w14:textId="795D55E3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believe that attending these sessions (and others) will not only give me access to the latest trends in </w:t>
      </w:r>
      <w:r w:rsidR="00F5218D">
        <w:rPr>
          <w:rFonts w:eastAsia="Times New Roman" w:cs="Times New Roman"/>
          <w:sz w:val="24"/>
          <w:szCs w:val="24"/>
        </w:rPr>
        <w:t xml:space="preserve">health information </w:t>
      </w:r>
      <w:r>
        <w:rPr>
          <w:rFonts w:eastAsia="Times New Roman" w:cs="Times New Roman"/>
          <w:sz w:val="24"/>
          <w:szCs w:val="24"/>
        </w:rPr>
        <w:t>but will also provide me with professional development opportunities at a very affordable cost.</w:t>
      </w:r>
    </w:p>
    <w:p w14:paraId="546A1D11" w14:textId="28439856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I will also qualify for </w:t>
      </w:r>
      <w:r w:rsidR="009B6ABB">
        <w:rPr>
          <w:rFonts w:eastAsia="Times New Roman" w:cs="Times New Roman"/>
          <w:sz w:val="24"/>
          <w:szCs w:val="24"/>
        </w:rPr>
        <w:t>c</w:t>
      </w:r>
      <w:r w:rsidRPr="001645C6">
        <w:rPr>
          <w:rFonts w:eastAsia="Times New Roman" w:cs="Times New Roman"/>
          <w:sz w:val="24"/>
          <w:szCs w:val="24"/>
        </w:rPr>
        <w:t xml:space="preserve">ontinuing </w:t>
      </w:r>
      <w:r w:rsidR="009B6ABB">
        <w:rPr>
          <w:rFonts w:eastAsia="Times New Roman" w:cs="Times New Roman"/>
          <w:sz w:val="24"/>
          <w:szCs w:val="24"/>
        </w:rPr>
        <w:t>e</w:t>
      </w:r>
      <w:r w:rsidRPr="001645C6">
        <w:rPr>
          <w:rFonts w:eastAsia="Times New Roman" w:cs="Times New Roman"/>
          <w:sz w:val="24"/>
          <w:szCs w:val="24"/>
        </w:rPr>
        <w:t xml:space="preserve">ducation </w:t>
      </w:r>
      <w:r w:rsidR="009B6ABB">
        <w:rPr>
          <w:rFonts w:eastAsia="Times New Roman" w:cs="Times New Roman"/>
          <w:sz w:val="24"/>
          <w:szCs w:val="24"/>
        </w:rPr>
        <w:t xml:space="preserve">contact hours </w:t>
      </w:r>
      <w:r w:rsidRPr="001645C6">
        <w:rPr>
          <w:rFonts w:eastAsia="Times New Roman" w:cs="Times New Roman"/>
          <w:sz w:val="24"/>
          <w:szCs w:val="24"/>
        </w:rPr>
        <w:t xml:space="preserve">for </w:t>
      </w:r>
      <w:r>
        <w:rPr>
          <w:rFonts w:eastAsia="Times New Roman" w:cs="Times New Roman"/>
          <w:sz w:val="24"/>
          <w:szCs w:val="24"/>
        </w:rPr>
        <w:t xml:space="preserve">nearly </w:t>
      </w:r>
      <w:r w:rsidRPr="001645C6">
        <w:rPr>
          <w:rFonts w:eastAsia="Times New Roman" w:cs="Times New Roman"/>
          <w:sz w:val="24"/>
          <w:szCs w:val="24"/>
        </w:rPr>
        <w:t xml:space="preserve">every educational session that </w:t>
      </w:r>
      <w:r w:rsidR="009B6ABB">
        <w:rPr>
          <w:rFonts w:eastAsia="Times New Roman" w:cs="Times New Roman"/>
          <w:sz w:val="24"/>
          <w:szCs w:val="24"/>
        </w:rPr>
        <w:t xml:space="preserve">I </w:t>
      </w:r>
      <w:r w:rsidRPr="001645C6">
        <w:rPr>
          <w:rFonts w:eastAsia="Times New Roman" w:cs="Times New Roman"/>
          <w:sz w:val="24"/>
          <w:szCs w:val="24"/>
        </w:rPr>
        <w:t xml:space="preserve">attend, which can be used for my </w:t>
      </w:r>
      <w:r w:rsidR="009106B4">
        <w:rPr>
          <w:rFonts w:eastAsia="Times New Roman" w:cs="Times New Roman"/>
          <w:sz w:val="24"/>
          <w:szCs w:val="24"/>
        </w:rPr>
        <w:t xml:space="preserve">current membership in [eventual application </w:t>
      </w:r>
      <w:r w:rsidRPr="001645C6">
        <w:rPr>
          <w:rFonts w:eastAsia="Times New Roman" w:cs="Times New Roman"/>
          <w:sz w:val="24"/>
          <w:szCs w:val="24"/>
        </w:rPr>
        <w:t>to</w:t>
      </w:r>
      <w:r w:rsidR="009106B4">
        <w:rPr>
          <w:rFonts w:eastAsia="Times New Roman" w:cs="Times New Roman"/>
          <w:sz w:val="24"/>
          <w:szCs w:val="24"/>
        </w:rPr>
        <w:t>]</w:t>
      </w:r>
      <w:r w:rsidRPr="001645C6">
        <w:rPr>
          <w:rFonts w:eastAsia="Times New Roman" w:cs="Times New Roman"/>
          <w:sz w:val="24"/>
          <w:szCs w:val="24"/>
        </w:rPr>
        <w:t xml:space="preserve"> the </w:t>
      </w:r>
      <w:r w:rsidR="009B6ABB">
        <w:rPr>
          <w:rFonts w:eastAsia="Times New Roman" w:cs="Times New Roman"/>
          <w:sz w:val="24"/>
          <w:szCs w:val="24"/>
        </w:rPr>
        <w:t>Academy of Health Information Professionals</w:t>
      </w:r>
      <w:r w:rsidRPr="001645C6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I am expecting to earn </w:t>
      </w:r>
      <w:r w:rsidR="00727699">
        <w:rPr>
          <w:rFonts w:eastAsia="Times New Roman" w:cs="Times New Roman"/>
          <w:sz w:val="24"/>
          <w:szCs w:val="24"/>
        </w:rPr>
        <w:t>______</w:t>
      </w:r>
      <w:r>
        <w:rPr>
          <w:rFonts w:eastAsia="Times New Roman" w:cs="Times New Roman"/>
          <w:sz w:val="24"/>
          <w:szCs w:val="24"/>
        </w:rPr>
        <w:t xml:space="preserve"> CE</w:t>
      </w:r>
      <w:r w:rsidR="009B6ABB">
        <w:rPr>
          <w:rFonts w:eastAsia="Times New Roman" w:cs="Times New Roman"/>
          <w:sz w:val="24"/>
          <w:szCs w:val="24"/>
        </w:rPr>
        <w:t xml:space="preserve"> hour</w:t>
      </w:r>
      <w:r>
        <w:rPr>
          <w:rFonts w:eastAsia="Times New Roman" w:cs="Times New Roman"/>
          <w:sz w:val="24"/>
          <w:szCs w:val="24"/>
        </w:rPr>
        <w:t xml:space="preserve">s towards my </w:t>
      </w:r>
      <w:r w:rsidR="009B6ABB">
        <w:rPr>
          <w:rFonts w:eastAsia="Times New Roman" w:cs="Times New Roman"/>
          <w:sz w:val="24"/>
          <w:szCs w:val="24"/>
        </w:rPr>
        <w:t xml:space="preserve">AHIP </w:t>
      </w:r>
      <w:r>
        <w:rPr>
          <w:rFonts w:eastAsia="Times New Roman" w:cs="Times New Roman"/>
          <w:sz w:val="24"/>
          <w:szCs w:val="24"/>
        </w:rPr>
        <w:t xml:space="preserve">certification. </w:t>
      </w:r>
    </w:p>
    <w:p w14:paraId="05EA02BA" w14:textId="2A33DE3F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have included a chart detailing some of the departmental needs in general, my objectives in particular, and how my attendance at </w:t>
      </w:r>
      <w:r w:rsidR="008A2E93">
        <w:rPr>
          <w:rFonts w:eastAsia="Times New Roman" w:cs="Times New Roman"/>
          <w:sz w:val="24"/>
          <w:szCs w:val="24"/>
        </w:rPr>
        <w:t>MLA ‘21</w:t>
      </w:r>
      <w:r w:rsidR="009B6AB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 help me meet these needs and objectives.</w:t>
      </w:r>
    </w:p>
    <w:p w14:paraId="7D773C1C" w14:textId="77777777" w:rsidR="00032C64" w:rsidRPr="001645C6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959"/>
        <w:gridCol w:w="5222"/>
      </w:tblGrid>
      <w:tr w:rsidR="00032C64" w14:paraId="7C3BE819" w14:textId="77777777" w:rsidTr="00727699">
        <w:tc>
          <w:tcPr>
            <w:tcW w:w="2628" w:type="dxa"/>
            <w:vAlign w:val="center"/>
          </w:tcPr>
          <w:p w14:paraId="6249F442" w14:textId="77777777" w:rsidR="00032C64" w:rsidRPr="001645C6" w:rsidRDefault="00032C64" w:rsidP="00996545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645C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Department’s Need:</w:t>
            </w:r>
          </w:p>
        </w:tc>
        <w:tc>
          <w:tcPr>
            <w:tcW w:w="2993" w:type="dxa"/>
            <w:vAlign w:val="center"/>
          </w:tcPr>
          <w:p w14:paraId="4A2C6C01" w14:textId="77777777" w:rsidR="00032C64" w:rsidRPr="001645C6" w:rsidRDefault="00032C64" w:rsidP="00996545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645C6">
              <w:rPr>
                <w:rFonts w:eastAsia="Times New Roman" w:cs="Times New Roman"/>
                <w:b/>
                <w:sz w:val="24"/>
                <w:szCs w:val="24"/>
              </w:rPr>
              <w:t>My Objective:</w:t>
            </w:r>
          </w:p>
        </w:tc>
        <w:tc>
          <w:tcPr>
            <w:tcW w:w="5305" w:type="dxa"/>
            <w:vAlign w:val="center"/>
          </w:tcPr>
          <w:p w14:paraId="25384F03" w14:textId="4E4D7EBA" w:rsidR="00032C64" w:rsidRPr="001645C6" w:rsidRDefault="008A2E93" w:rsidP="009B6ABB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MLA ‘21</w:t>
            </w:r>
            <w:r w:rsidR="009B6AB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32C64" w:rsidRPr="001645C6">
              <w:rPr>
                <w:rFonts w:eastAsia="Times New Roman" w:cs="Times New Roman"/>
                <w:b/>
                <w:sz w:val="24"/>
                <w:szCs w:val="24"/>
              </w:rPr>
              <w:t>offers…</w:t>
            </w:r>
          </w:p>
        </w:tc>
      </w:tr>
      <w:tr w:rsidR="00032C64" w14:paraId="3A3D7AAA" w14:textId="77777777" w:rsidTr="00727699">
        <w:tc>
          <w:tcPr>
            <w:tcW w:w="2628" w:type="dxa"/>
          </w:tcPr>
          <w:p w14:paraId="21440843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9FDAB83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23A98AC5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  <w:tr w:rsidR="00032C64" w14:paraId="38101565" w14:textId="77777777" w:rsidTr="00727699">
        <w:tc>
          <w:tcPr>
            <w:tcW w:w="2628" w:type="dxa"/>
          </w:tcPr>
          <w:p w14:paraId="63979017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87FB55F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65DD061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  <w:tr w:rsidR="00032C64" w14:paraId="78681D06" w14:textId="77777777" w:rsidTr="00727699">
        <w:tc>
          <w:tcPr>
            <w:tcW w:w="2628" w:type="dxa"/>
          </w:tcPr>
          <w:p w14:paraId="5C119CB4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AB59D81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46817DC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6E51EE80" w14:textId="77777777" w:rsidR="00F65399" w:rsidRDefault="00F65399" w:rsidP="00F65399">
      <w:pPr>
        <w:pStyle w:val="Heading1"/>
        <w:jc w:val="center"/>
        <w:rPr>
          <w:rFonts w:eastAsia="Times New Roman"/>
        </w:rPr>
      </w:pPr>
    </w:p>
    <w:p w14:paraId="7184CA6A" w14:textId="6710B6D1" w:rsidR="00F65399" w:rsidRDefault="00A62851" w:rsidP="00F6539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Tentative </w:t>
      </w:r>
      <w:r w:rsidR="00F65399">
        <w:rPr>
          <w:rFonts w:eastAsia="Times New Roman"/>
        </w:rPr>
        <w:t>Expenses Worksheet</w:t>
      </w:r>
    </w:p>
    <w:p w14:paraId="0E5625FE" w14:textId="77777777" w:rsidR="00F65399" w:rsidRPr="00492FDB" w:rsidRDefault="00F65399" w:rsidP="00F65399">
      <w:pPr>
        <w:spacing w:after="200" w:line="276" w:lineRule="auto"/>
        <w:rPr>
          <w:rFonts w:eastAsia="Times New Roman" w:cs="Times New Roman"/>
        </w:rPr>
      </w:pPr>
    </w:p>
    <w:p w14:paraId="19FC40E4" w14:textId="39FED101" w:rsidR="00F65399" w:rsidRDefault="00F65399" w:rsidP="00F65399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Here is the breakdown of </w:t>
      </w:r>
      <w:r w:rsidR="00727699">
        <w:rPr>
          <w:rFonts w:eastAsia="Times New Roman" w:cs="Times New Roman"/>
          <w:sz w:val="24"/>
          <w:szCs w:val="24"/>
        </w:rPr>
        <w:t xml:space="preserve">my approximate </w:t>
      </w:r>
      <w:r w:rsidR="008A2E93">
        <w:rPr>
          <w:rFonts w:eastAsia="Times New Roman" w:cs="Times New Roman"/>
          <w:sz w:val="24"/>
          <w:szCs w:val="24"/>
        </w:rPr>
        <w:t>MLA ‘21</w:t>
      </w:r>
      <w:r w:rsidR="00CE0EAA">
        <w:rPr>
          <w:rFonts w:eastAsia="Times New Roman" w:cs="Times New Roman"/>
          <w:sz w:val="24"/>
          <w:szCs w:val="24"/>
        </w:rPr>
        <w:t xml:space="preserve"> vConference</w:t>
      </w:r>
      <w:r>
        <w:rPr>
          <w:rFonts w:eastAsia="Times New Roman" w:cs="Times New Roman"/>
          <w:sz w:val="24"/>
          <w:szCs w:val="24"/>
        </w:rPr>
        <w:t xml:space="preserve"> costs:</w:t>
      </w:r>
      <w:r w:rsidRPr="001645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65399" w:rsidRPr="00011402" w14:paraId="71DB0445" w14:textId="77777777" w:rsidTr="002F3CD0">
        <w:tc>
          <w:tcPr>
            <w:tcW w:w="7218" w:type="dxa"/>
            <w:shd w:val="clear" w:color="auto" w:fill="E7E6E6" w:themeFill="background2"/>
            <w:vAlign w:val="bottom"/>
          </w:tcPr>
          <w:p w14:paraId="7D522678" w14:textId="77777777" w:rsidR="00F65399" w:rsidRPr="00011402" w:rsidRDefault="00F65399" w:rsidP="002F3CD0">
            <w:pPr>
              <w:spacing w:after="200" w:line="276" w:lineRule="auto"/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358" w:type="dxa"/>
            <w:shd w:val="clear" w:color="auto" w:fill="E7E6E6" w:themeFill="background2"/>
            <w:vAlign w:val="bottom"/>
          </w:tcPr>
          <w:p w14:paraId="539AB9E9" w14:textId="77777777" w:rsidR="00F65399" w:rsidRPr="00011402" w:rsidRDefault="00F65399" w:rsidP="002F3CD0">
            <w:pPr>
              <w:spacing w:after="200" w:line="276" w:lineRule="auto"/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  <w:t>COST</w:t>
            </w:r>
          </w:p>
        </w:tc>
      </w:tr>
      <w:tr w:rsidR="00F65399" w14:paraId="6F9ECDCA" w14:textId="77777777" w:rsidTr="002F3CD0">
        <w:tc>
          <w:tcPr>
            <w:tcW w:w="7218" w:type="dxa"/>
            <w:vAlign w:val="center"/>
          </w:tcPr>
          <w:p w14:paraId="5C5DD432" w14:textId="6E7360C0" w:rsidR="00F65399" w:rsidRDefault="00F65399" w:rsidP="00A628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Meeting Registration</w:t>
            </w:r>
            <w:r w:rsidR="00A62851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A62851" w:rsidRPr="001645C6">
              <w:rPr>
                <w:rFonts w:eastAsia="Times New Roman" w:cs="Times New Roman"/>
                <w:sz w:val="24"/>
                <w:szCs w:val="24"/>
              </w:rPr>
              <w:t xml:space="preserve">includes full access to speakers, sessions, the </w:t>
            </w:r>
            <w:r w:rsidR="00A62851">
              <w:rPr>
                <w:rFonts w:eastAsia="Times New Roman" w:cs="Times New Roman"/>
                <w:sz w:val="24"/>
                <w:szCs w:val="24"/>
              </w:rPr>
              <w:t>exhibition</w:t>
            </w:r>
            <w:r w:rsidR="00A62851" w:rsidRPr="001645C6">
              <w:rPr>
                <w:rFonts w:eastAsia="Times New Roman" w:cs="Times New Roman"/>
                <w:sz w:val="24"/>
                <w:szCs w:val="24"/>
              </w:rPr>
              <w:t>, scheduled group events</w:t>
            </w:r>
            <w:r w:rsidR="00A62851">
              <w:rPr>
                <w:rFonts w:eastAsia="Times New Roman" w:cs="Times New Roman"/>
                <w:sz w:val="24"/>
                <w:szCs w:val="24"/>
              </w:rPr>
              <w:t>, and online access to meeting recordings)</w:t>
            </w:r>
            <w:r w:rsidRPr="001645C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358" w:type="dxa"/>
            <w:vAlign w:val="center"/>
          </w:tcPr>
          <w:p w14:paraId="16A268E5" w14:textId="77777777" w:rsidR="00F65399" w:rsidRDefault="00F65399" w:rsidP="00A628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399" w14:paraId="7A9965D9" w14:textId="77777777" w:rsidTr="002F3CD0">
        <w:tc>
          <w:tcPr>
            <w:tcW w:w="7218" w:type="dxa"/>
            <w:shd w:val="clear" w:color="auto" w:fill="E7E6E6" w:themeFill="background2"/>
            <w:vAlign w:val="bottom"/>
          </w:tcPr>
          <w:p w14:paraId="3A49ABDB" w14:textId="77777777" w:rsidR="00F65399" w:rsidRPr="00011402" w:rsidRDefault="00F65399" w:rsidP="002F3CD0">
            <w:pPr>
              <w:spacing w:after="0" w:line="36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z w:val="24"/>
                <w:szCs w:val="24"/>
              </w:rPr>
              <w:t>TOTAL COST OF ATTENDANCE</w:t>
            </w:r>
            <w:r w:rsidRPr="00011402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E7E6E6" w:themeFill="background2"/>
            <w:vAlign w:val="bottom"/>
          </w:tcPr>
          <w:p w14:paraId="3752B292" w14:textId="77777777" w:rsidR="00F65399" w:rsidRDefault="00F65399" w:rsidP="002F3CD0">
            <w:pPr>
              <w:spacing w:after="20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E53BBA" w14:textId="0128A7AC" w:rsidR="00F65399" w:rsidRPr="001645C6" w:rsidRDefault="00F65399" w:rsidP="00F65399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br/>
      </w:r>
    </w:p>
    <w:p w14:paraId="1A313F31" w14:textId="77777777" w:rsidR="00F65399" w:rsidRDefault="00F65399" w:rsidP="00F65399">
      <w:pPr>
        <w:spacing w:after="0" w:line="240" w:lineRule="auto"/>
      </w:pPr>
    </w:p>
    <w:p w14:paraId="613CB8A7" w14:textId="77777777" w:rsidR="00F65399" w:rsidRDefault="00F65399"/>
    <w:sectPr w:rsidR="00F65399" w:rsidSect="00F76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44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6BF3"/>
    <w:multiLevelType w:val="hybridMultilevel"/>
    <w:tmpl w:val="2222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264D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A1247"/>
    <w:multiLevelType w:val="hybridMultilevel"/>
    <w:tmpl w:val="B2D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C621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64"/>
    <w:rsid w:val="000179D3"/>
    <w:rsid w:val="00032C64"/>
    <w:rsid w:val="00072B66"/>
    <w:rsid w:val="000C3892"/>
    <w:rsid w:val="000F5F6A"/>
    <w:rsid w:val="00174C29"/>
    <w:rsid w:val="002A055D"/>
    <w:rsid w:val="003E59AC"/>
    <w:rsid w:val="006420FF"/>
    <w:rsid w:val="006F2561"/>
    <w:rsid w:val="00705A4B"/>
    <w:rsid w:val="00727699"/>
    <w:rsid w:val="007B0028"/>
    <w:rsid w:val="00807873"/>
    <w:rsid w:val="008A2E93"/>
    <w:rsid w:val="009106B4"/>
    <w:rsid w:val="009B6ABB"/>
    <w:rsid w:val="00A62851"/>
    <w:rsid w:val="00BA5853"/>
    <w:rsid w:val="00C51768"/>
    <w:rsid w:val="00CA4932"/>
    <w:rsid w:val="00CE0EAA"/>
    <w:rsid w:val="00E37C81"/>
    <w:rsid w:val="00F5218D"/>
    <w:rsid w:val="00F65399"/>
    <w:rsid w:val="00F76774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5910"/>
  <w14:defaultImageDpi w14:val="32767"/>
  <w15:docId w15:val="{B941CC20-738E-4D51-959E-7C5F98C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32C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C64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6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67C54-9273-420C-838F-9910123A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527AB-33AA-4866-9332-0CCFF9E1A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954EA-1724-4751-876F-4168FF150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2974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Martha Lara</cp:lastModifiedBy>
  <cp:revision>3</cp:revision>
  <cp:lastPrinted>2019-01-04T21:39:00Z</cp:lastPrinted>
  <dcterms:created xsi:type="dcterms:W3CDTF">2021-03-08T22:42:00Z</dcterms:created>
  <dcterms:modified xsi:type="dcterms:W3CDTF">2021-03-08T22:44:00Z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