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A060" w14:textId="327B1E89" w:rsidR="00186C57" w:rsidRDefault="00936A1D">
      <w:pPr>
        <w:tabs>
          <w:tab w:val="left" w:pos="7769"/>
        </w:tabs>
        <w:ind w:left="209"/>
        <w:rPr>
          <w:sz w:val="20"/>
        </w:rPr>
      </w:pPr>
      <w:bookmarkStart w:id="0" w:name="_GoBack"/>
      <w:bookmarkEnd w:id="0"/>
      <w:r>
        <w:rPr>
          <w:position w:val="1"/>
          <w:sz w:val="20"/>
        </w:rPr>
        <w:tab/>
      </w:r>
    </w:p>
    <w:p w14:paraId="55844C14" w14:textId="77777777" w:rsidR="00186C57" w:rsidRDefault="00186C57">
      <w:pPr>
        <w:pStyle w:val="BodyText"/>
        <w:rPr>
          <w:sz w:val="20"/>
        </w:rPr>
      </w:pPr>
    </w:p>
    <w:p w14:paraId="51AD9FD4" w14:textId="5EE80C4B" w:rsidR="00186C57" w:rsidRDefault="00EC05F7">
      <w:pPr>
        <w:spacing w:before="71"/>
        <w:ind w:left="209"/>
        <w:rPr>
          <w:i/>
          <w:sz w:val="19"/>
        </w:rPr>
      </w:pPr>
      <w:r>
        <w:rPr>
          <w:i/>
          <w:w w:val="105"/>
          <w:sz w:val="19"/>
        </w:rPr>
        <w:t>April</w:t>
      </w:r>
      <w:r w:rsidR="00936A1D">
        <w:rPr>
          <w:i/>
          <w:w w:val="105"/>
          <w:sz w:val="19"/>
        </w:rPr>
        <w:t xml:space="preserve"> 20</w:t>
      </w:r>
      <w:r w:rsidR="00634936">
        <w:rPr>
          <w:i/>
          <w:w w:val="105"/>
          <w:sz w:val="19"/>
        </w:rPr>
        <w:t>1</w:t>
      </w:r>
      <w:r w:rsidR="003232CD">
        <w:rPr>
          <w:i/>
          <w:w w:val="105"/>
          <w:sz w:val="19"/>
        </w:rPr>
        <w:t>9</w:t>
      </w:r>
    </w:p>
    <w:p w14:paraId="0CD9762A" w14:textId="77777777" w:rsidR="00186C57" w:rsidRDefault="00936A1D">
      <w:pPr>
        <w:spacing w:before="12"/>
        <w:ind w:left="209"/>
        <w:rPr>
          <w:i/>
          <w:sz w:val="19"/>
        </w:rPr>
      </w:pPr>
      <w:r>
        <w:rPr>
          <w:i/>
          <w:w w:val="105"/>
          <w:sz w:val="19"/>
        </w:rPr>
        <w:t xml:space="preserve">Prepared by the </w:t>
      </w:r>
      <w:r w:rsidR="00634936">
        <w:rPr>
          <w:i/>
          <w:w w:val="105"/>
          <w:sz w:val="19"/>
        </w:rPr>
        <w:t xml:space="preserve">Joint </w:t>
      </w:r>
      <w:r>
        <w:rPr>
          <w:i/>
          <w:w w:val="105"/>
          <w:sz w:val="19"/>
        </w:rPr>
        <w:t>MLA/AAHSL Legislative Task Force</w:t>
      </w:r>
    </w:p>
    <w:p w14:paraId="0D96DD30" w14:textId="0AB40853" w:rsidR="00186C57" w:rsidRDefault="00936A1D">
      <w:pPr>
        <w:spacing w:before="12" w:line="252" w:lineRule="auto"/>
        <w:ind w:left="209" w:right="4744"/>
        <w:rPr>
          <w:i/>
          <w:w w:val="105"/>
          <w:sz w:val="19"/>
        </w:rPr>
      </w:pPr>
      <w:r>
        <w:rPr>
          <w:i/>
          <w:w w:val="105"/>
          <w:sz w:val="19"/>
        </w:rPr>
        <w:t>For further information, contact Mary M. Langman at (312) 419-9094, ext. 27</w:t>
      </w:r>
    </w:p>
    <w:p w14:paraId="37B00B8E" w14:textId="617A7499" w:rsidR="00E62E23" w:rsidRDefault="00C10CB0">
      <w:pPr>
        <w:spacing w:before="12" w:line="252" w:lineRule="auto"/>
        <w:ind w:left="209" w:right="4744"/>
        <w:rPr>
          <w:sz w:val="19"/>
        </w:rPr>
      </w:pPr>
      <w:r>
        <w:rPr>
          <w:i/>
          <w:w w:val="105"/>
          <w:sz w:val="19"/>
        </w:rPr>
        <w:t>O</w:t>
      </w:r>
      <w:r w:rsidR="00E62E23">
        <w:rPr>
          <w:i/>
          <w:w w:val="105"/>
          <w:sz w:val="19"/>
        </w:rPr>
        <w:t xml:space="preserve">nline </w:t>
      </w:r>
      <w:r>
        <w:rPr>
          <w:i/>
          <w:w w:val="105"/>
          <w:sz w:val="19"/>
        </w:rPr>
        <w:t>V</w:t>
      </w:r>
      <w:r w:rsidR="00E62E23">
        <w:rPr>
          <w:i/>
          <w:w w:val="105"/>
          <w:sz w:val="19"/>
        </w:rPr>
        <w:t>ersion</w:t>
      </w:r>
      <w:r>
        <w:rPr>
          <w:i/>
          <w:w w:val="105"/>
          <w:sz w:val="19"/>
        </w:rPr>
        <w:t xml:space="preserve">: </w:t>
      </w:r>
      <w:hyperlink r:id="rId11" w:history="1">
        <w:r w:rsidRPr="00D338E9">
          <w:rPr>
            <w:rStyle w:val="Hyperlink"/>
            <w:i/>
            <w:w w:val="105"/>
            <w:sz w:val="19"/>
          </w:rPr>
          <w:t>https://www.mlanet.org/p/cm/ld/fid=201</w:t>
        </w:r>
      </w:hyperlink>
      <w:r>
        <w:rPr>
          <w:i/>
          <w:w w:val="105"/>
          <w:sz w:val="19"/>
        </w:rPr>
        <w:t xml:space="preserve"> </w:t>
      </w:r>
    </w:p>
    <w:p w14:paraId="6FB02931" w14:textId="77777777" w:rsidR="00186C57" w:rsidRDefault="00186C57">
      <w:pPr>
        <w:pStyle w:val="BodyText"/>
        <w:spacing w:before="8"/>
        <w:rPr>
          <w:sz w:val="23"/>
        </w:rPr>
      </w:pPr>
    </w:p>
    <w:p w14:paraId="542923D4" w14:textId="77777777" w:rsidR="00186C57" w:rsidRDefault="00936A1D" w:rsidP="0014665B">
      <w:pPr>
        <w:ind w:left="209"/>
        <w:rPr>
          <w:rFonts w:ascii="Calibri"/>
          <w:b/>
          <w:sz w:val="36"/>
        </w:rPr>
      </w:pPr>
      <w:r>
        <w:rPr>
          <w:rFonts w:ascii="Calibri"/>
          <w:b/>
          <w:color w:val="345A8A"/>
          <w:sz w:val="36"/>
        </w:rPr>
        <w:t xml:space="preserve">The National Library of Medicine: </w:t>
      </w:r>
      <w:r w:rsidR="00F345ED">
        <w:rPr>
          <w:rFonts w:ascii="Calibri"/>
          <w:b/>
          <w:color w:val="345A8A"/>
          <w:sz w:val="36"/>
        </w:rPr>
        <w:t>A Platform for Biomedical Discovery and Data-Powered Health</w:t>
      </w:r>
    </w:p>
    <w:p w14:paraId="49504C90" w14:textId="583F46FA" w:rsidR="00186C57" w:rsidRDefault="00EC05F7">
      <w:pPr>
        <w:pStyle w:val="BodyText"/>
        <w:spacing w:before="283" w:line="254" w:lineRule="auto"/>
        <w:ind w:left="209" w:right="246"/>
        <w:rPr>
          <w:w w:val="105"/>
        </w:rPr>
      </w:pPr>
      <w:r>
        <w:rPr>
          <w:w w:val="105"/>
        </w:rPr>
        <w:t>T</w:t>
      </w:r>
      <w:r w:rsidR="00676AE4">
        <w:rPr>
          <w:w w:val="105"/>
        </w:rPr>
        <w:t xml:space="preserve">he </w:t>
      </w:r>
      <w:r w:rsidR="00676AE4" w:rsidRPr="00676AE4">
        <w:rPr>
          <w:b/>
          <w:w w:val="105"/>
        </w:rPr>
        <w:t>National Library of Medicine (NLM)</w:t>
      </w:r>
      <w:r w:rsidR="00676AE4" w:rsidRPr="00676AE4">
        <w:rPr>
          <w:w w:val="105"/>
        </w:rPr>
        <w:t xml:space="preserve"> plays an essential role in catalyzing basic biomedical science and data-driven discovery</w:t>
      </w:r>
      <w:r w:rsidR="00F5395F">
        <w:rPr>
          <w:w w:val="105"/>
        </w:rPr>
        <w:t xml:space="preserve"> t</w:t>
      </w:r>
      <w:r w:rsidR="00F5395F" w:rsidRPr="00676AE4">
        <w:rPr>
          <w:w w:val="105"/>
        </w:rPr>
        <w:t>hrough its cutting-edge research, information systems, collections, and training programs</w:t>
      </w:r>
      <w:r w:rsidR="00676AE4" w:rsidRPr="00676AE4">
        <w:rPr>
          <w:w w:val="105"/>
        </w:rPr>
        <w:t xml:space="preserve">. NLM acquires, organizes, curates, and delivers up-to-date biomedical information across the United States and around the globe, and its electronic information sources are used millions of times each day. NLM makes research results available for translation into new treatments, products, and practices; provides decision support for health professionals and patients; and aids disaster and emergency preparedness and response. </w:t>
      </w:r>
      <w:r w:rsidR="00936A1D">
        <w:rPr>
          <w:w w:val="105"/>
        </w:rPr>
        <w:t xml:space="preserve">In partnership with other parts of the National Institutes of Health (NIH) and other federal agencies, NLM is </w:t>
      </w:r>
      <w:r w:rsidR="00FD1018">
        <w:rPr>
          <w:w w:val="105"/>
        </w:rPr>
        <w:t xml:space="preserve">a </w:t>
      </w:r>
      <w:r w:rsidR="00936A1D">
        <w:rPr>
          <w:w w:val="105"/>
        </w:rPr>
        <w:t>key link in the chain that translates biomedical research into practice, making the results of research readily available worldwide.</w:t>
      </w:r>
      <w:r w:rsidR="00676AE4">
        <w:rPr>
          <w:w w:val="105"/>
        </w:rPr>
        <w:t xml:space="preserve"> The NLM Strategic Plan 2017-2027, </w:t>
      </w:r>
      <w:r w:rsidR="00B8215C" w:rsidRPr="00B8215C">
        <w:rPr>
          <w:i/>
          <w:w w:val="105"/>
        </w:rPr>
        <w:t>A</w:t>
      </w:r>
      <w:r w:rsidR="00676AE4" w:rsidRPr="00B8215C">
        <w:rPr>
          <w:i/>
          <w:w w:val="105"/>
        </w:rPr>
        <w:t xml:space="preserve"> Platform for Biomedical Discovery and Data-Powered Health</w:t>
      </w:r>
      <w:r w:rsidR="00676AE4">
        <w:rPr>
          <w:w w:val="105"/>
        </w:rPr>
        <w:t xml:space="preserve">, </w:t>
      </w:r>
      <w:r w:rsidR="00676AE4" w:rsidRPr="00676AE4">
        <w:rPr>
          <w:w w:val="105"/>
        </w:rPr>
        <w:t>positions NLM as a platform for biomedical discovery and data-powered health through the provision of tools for data-driven research, reaching more people in more ways through enhanced dissemination and engagement pathways, and building a workforce for data-driven research and health.</w:t>
      </w:r>
    </w:p>
    <w:p w14:paraId="710F572C" w14:textId="77777777" w:rsidR="00FE3E37" w:rsidRDefault="00FE3E37" w:rsidP="00FE3E37">
      <w:pPr>
        <w:pStyle w:val="BodyText"/>
        <w:spacing w:before="283" w:line="254" w:lineRule="auto"/>
        <w:ind w:left="209" w:right="246"/>
        <w:rPr>
          <w:i/>
          <w:w w:val="105"/>
        </w:rPr>
      </w:pPr>
      <w:r>
        <w:rPr>
          <w:w w:val="105"/>
        </w:rPr>
        <w:t xml:space="preserve">Because NLM is an investment in good health; because its resources serve the public, care providers, and researchers; and because NLM is a leader in global disaster preparedness and response support, </w:t>
      </w:r>
      <w:r w:rsidRPr="007C0434">
        <w:rPr>
          <w:i/>
          <w:w w:val="105"/>
        </w:rPr>
        <w:t xml:space="preserve">the Medical Library Association (MLA) and Association of Academic Health Sciences Libraries (AAHSL) urge Congress to increase funding levels to at least $457.4 million(+15.5 million), a 3.5 percent increase for NLM in Fiscal Year (FY) 2020, and to increase NIH funding levels to at least $41.6 billion (+$2.5 billion), </w:t>
      </w:r>
      <w:r>
        <w:rPr>
          <w:i/>
          <w:w w:val="105"/>
        </w:rPr>
        <w:t xml:space="preserve">a 6.4 </w:t>
      </w:r>
      <w:r w:rsidRPr="007C0434">
        <w:rPr>
          <w:i/>
          <w:w w:val="105"/>
        </w:rPr>
        <w:t>percent increase, including dedicated funding provided to the Agency through the 21</w:t>
      </w:r>
      <w:r w:rsidRPr="007C0434">
        <w:rPr>
          <w:i/>
          <w:w w:val="105"/>
          <w:vertAlign w:val="superscript"/>
        </w:rPr>
        <w:t>st</w:t>
      </w:r>
      <w:r w:rsidRPr="007C0434">
        <w:rPr>
          <w:i/>
          <w:w w:val="105"/>
        </w:rPr>
        <w:t xml:space="preserve"> Century Cures Act.</w:t>
      </w:r>
    </w:p>
    <w:p w14:paraId="087E51A8" w14:textId="77777777" w:rsidR="00FE3E37" w:rsidRDefault="00FE3E37" w:rsidP="00000612">
      <w:pPr>
        <w:pStyle w:val="Heading1"/>
      </w:pPr>
    </w:p>
    <w:p w14:paraId="2019DC6E" w14:textId="6EEE7A38" w:rsidR="00186C57" w:rsidRPr="00000612" w:rsidRDefault="00936A1D" w:rsidP="00000612">
      <w:pPr>
        <w:pStyle w:val="Heading1"/>
      </w:pPr>
      <w:r>
        <w:t>NLM Resources Serve the Public, Care Providers, and Researchers</w:t>
      </w:r>
    </w:p>
    <w:p w14:paraId="1B2A275A" w14:textId="77777777" w:rsidR="00000612" w:rsidRDefault="00000612" w:rsidP="00000612">
      <w:pPr>
        <w:spacing w:line="254" w:lineRule="auto"/>
        <w:ind w:left="209"/>
        <w:rPr>
          <w:w w:val="105"/>
          <w:sz w:val="21"/>
        </w:rPr>
      </w:pPr>
    </w:p>
    <w:p w14:paraId="3B3474CC" w14:textId="77777777" w:rsidR="00186C57" w:rsidRDefault="00936A1D" w:rsidP="00000612">
      <w:pPr>
        <w:spacing w:line="254" w:lineRule="auto"/>
        <w:ind w:left="209"/>
        <w:rPr>
          <w:w w:val="105"/>
          <w:sz w:val="21"/>
        </w:rPr>
      </w:pPr>
      <w:r>
        <w:rPr>
          <w:w w:val="105"/>
          <w:sz w:val="21"/>
        </w:rPr>
        <w:t xml:space="preserve">NLM makes almost </w:t>
      </w:r>
      <w:r>
        <w:rPr>
          <w:b/>
          <w:w w:val="105"/>
          <w:sz w:val="21"/>
        </w:rPr>
        <w:t xml:space="preserve">300 databases and online services freely available </w:t>
      </w:r>
      <w:r>
        <w:rPr>
          <w:w w:val="105"/>
          <w:sz w:val="21"/>
        </w:rPr>
        <w:t>through libraries and to anyone with Internet access. These resources support health care, public health, disease prevention and wellness, biomedical research, and innovation.</w:t>
      </w:r>
      <w:r w:rsidR="00520967">
        <w:rPr>
          <w:w w:val="105"/>
          <w:sz w:val="21"/>
        </w:rPr>
        <w:t xml:space="preserve"> They can be </w:t>
      </w:r>
      <w:r w:rsidR="00337C14">
        <w:rPr>
          <w:w w:val="105"/>
          <w:sz w:val="21"/>
        </w:rPr>
        <w:t xml:space="preserve">accessed </w:t>
      </w:r>
      <w:r w:rsidR="00520967">
        <w:rPr>
          <w:w w:val="105"/>
          <w:sz w:val="21"/>
        </w:rPr>
        <w:t xml:space="preserve">at </w:t>
      </w:r>
      <w:hyperlink r:id="rId12" w:history="1">
        <w:r w:rsidR="00520967" w:rsidRPr="00A43129">
          <w:rPr>
            <w:rStyle w:val="Hyperlink"/>
            <w:w w:val="105"/>
            <w:sz w:val="21"/>
          </w:rPr>
          <w:t>https://www.nlm.nih.gov/</w:t>
        </w:r>
      </w:hyperlink>
      <w:r w:rsidR="00520967">
        <w:rPr>
          <w:w w:val="105"/>
          <w:sz w:val="21"/>
        </w:rPr>
        <w:t xml:space="preserve">. </w:t>
      </w:r>
    </w:p>
    <w:p w14:paraId="66718C6D" w14:textId="77777777" w:rsidR="00000612" w:rsidRPr="00000612" w:rsidRDefault="00000612" w:rsidP="00000612">
      <w:pPr>
        <w:spacing w:line="254" w:lineRule="auto"/>
        <w:ind w:left="209"/>
        <w:rPr>
          <w:sz w:val="21"/>
        </w:rPr>
      </w:pPr>
    </w:p>
    <w:p w14:paraId="2D251507" w14:textId="77777777" w:rsidR="00186C57" w:rsidRDefault="00936A1D">
      <w:pPr>
        <w:pStyle w:val="Heading1"/>
      </w:pPr>
      <w:r>
        <w:t>NLM’s most heavily used resources are:</w:t>
      </w:r>
    </w:p>
    <w:p w14:paraId="02A488CF" w14:textId="0B023323" w:rsidR="00186C57" w:rsidRDefault="00186C57">
      <w:pPr>
        <w:pStyle w:val="BodyText"/>
        <w:spacing w:before="4"/>
        <w:rPr>
          <w:b/>
          <w:sz w:val="25"/>
        </w:rPr>
      </w:pP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3144"/>
        <w:gridCol w:w="3653"/>
        <w:gridCol w:w="4147"/>
      </w:tblGrid>
      <w:tr w:rsidR="00186C57" w14:paraId="49C497F5" w14:textId="77777777" w:rsidTr="0014665B">
        <w:trPr>
          <w:trHeight w:hRule="exact" w:val="581"/>
        </w:trPr>
        <w:tc>
          <w:tcPr>
            <w:tcW w:w="3144" w:type="dxa"/>
          </w:tcPr>
          <w:p w14:paraId="7D2129D0" w14:textId="1E596ECC" w:rsidR="00186C57" w:rsidRDefault="00936A1D">
            <w:pPr>
              <w:pStyle w:val="TableParagraph"/>
              <w:spacing w:before="79"/>
              <w:ind w:left="659"/>
              <w:rPr>
                <w:rFonts w:ascii="Calibri"/>
                <w:b/>
                <w:i/>
                <w:sz w:val="31"/>
              </w:rPr>
            </w:pPr>
            <w:r>
              <w:rPr>
                <w:rFonts w:ascii="Calibri"/>
                <w:b/>
                <w:i/>
                <w:color w:val="4F81BD"/>
                <w:sz w:val="31"/>
              </w:rPr>
              <w:t>NLM Website</w:t>
            </w:r>
          </w:p>
        </w:tc>
        <w:tc>
          <w:tcPr>
            <w:tcW w:w="3653" w:type="dxa"/>
          </w:tcPr>
          <w:p w14:paraId="7C4E0EBE" w14:textId="2A038F9C" w:rsidR="00186C57" w:rsidRDefault="00936A1D">
            <w:pPr>
              <w:pStyle w:val="TableParagraph"/>
              <w:spacing w:before="79"/>
              <w:ind w:left="107" w:right="101"/>
              <w:jc w:val="center"/>
              <w:rPr>
                <w:rFonts w:ascii="Calibri"/>
                <w:b/>
                <w:i/>
                <w:sz w:val="31"/>
              </w:rPr>
            </w:pPr>
            <w:r>
              <w:rPr>
                <w:rFonts w:ascii="Calibri"/>
                <w:b/>
                <w:i/>
                <w:color w:val="4F81BD"/>
                <w:sz w:val="31"/>
              </w:rPr>
              <w:t>Key Statistic</w:t>
            </w:r>
          </w:p>
        </w:tc>
        <w:tc>
          <w:tcPr>
            <w:tcW w:w="4147" w:type="dxa"/>
          </w:tcPr>
          <w:p w14:paraId="59987B72" w14:textId="77777777" w:rsidR="00186C57" w:rsidRDefault="00936A1D">
            <w:pPr>
              <w:pStyle w:val="TableParagraph"/>
              <w:spacing w:before="79"/>
              <w:ind w:left="840"/>
              <w:rPr>
                <w:rFonts w:ascii="Calibri"/>
                <w:b/>
                <w:i/>
                <w:sz w:val="31"/>
              </w:rPr>
            </w:pPr>
            <w:r>
              <w:rPr>
                <w:rFonts w:ascii="Calibri"/>
                <w:b/>
                <w:i/>
                <w:color w:val="4F81BD"/>
                <w:sz w:val="31"/>
              </w:rPr>
              <w:t>Other</w:t>
            </w:r>
            <w:r>
              <w:rPr>
                <w:rFonts w:ascii="Calibri"/>
                <w:b/>
                <w:i/>
                <w:color w:val="4F81BD"/>
                <w:spacing w:val="65"/>
                <w:sz w:val="31"/>
              </w:rPr>
              <w:t xml:space="preserve"> </w:t>
            </w:r>
            <w:r>
              <w:rPr>
                <w:rFonts w:ascii="Calibri"/>
                <w:b/>
                <w:i/>
                <w:color w:val="4F81BD"/>
                <w:sz w:val="31"/>
              </w:rPr>
              <w:t>Information</w:t>
            </w:r>
          </w:p>
        </w:tc>
      </w:tr>
      <w:tr w:rsidR="00186C57" w14:paraId="7C427A32" w14:textId="77777777" w:rsidTr="000F0767">
        <w:trPr>
          <w:trHeight w:hRule="exact" w:val="1653"/>
        </w:trPr>
        <w:tc>
          <w:tcPr>
            <w:tcW w:w="3144" w:type="dxa"/>
            <w:vAlign w:val="center"/>
          </w:tcPr>
          <w:p w14:paraId="16068027" w14:textId="3FD2327F" w:rsidR="00186C57" w:rsidRDefault="000F0767" w:rsidP="00FB3B36">
            <w:pPr>
              <w:pStyle w:val="TableParagraph"/>
              <w:spacing w:before="3"/>
              <w:jc w:val="center"/>
              <w:rPr>
                <w:b/>
                <w:sz w:val="6"/>
              </w:rPr>
            </w:pPr>
            <w:r>
              <w:rPr>
                <w:noProof/>
                <w:sz w:val="20"/>
              </w:rPr>
              <w:drawing>
                <wp:inline distT="0" distB="0" distL="0" distR="0" wp14:anchorId="13C1E9ED" wp14:editId="7DE80887">
                  <wp:extent cx="1487374" cy="460858"/>
                  <wp:effectExtent l="0" t="0" r="0" b="0"/>
                  <wp:docPr id="5" name="image3.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524451" cy="472346"/>
                          </a:xfrm>
                          <a:prstGeom prst="rect">
                            <a:avLst/>
                          </a:prstGeom>
                        </pic:spPr>
                      </pic:pic>
                    </a:graphicData>
                  </a:graphic>
                </wp:inline>
              </w:drawing>
            </w:r>
          </w:p>
          <w:p w14:paraId="19612B98" w14:textId="77777777" w:rsidR="000F0767" w:rsidRDefault="000F0767" w:rsidP="00FB3B36">
            <w:pPr>
              <w:pStyle w:val="TableParagraph"/>
              <w:spacing w:before="3"/>
              <w:jc w:val="center"/>
              <w:rPr>
                <w:b/>
                <w:sz w:val="6"/>
              </w:rPr>
            </w:pPr>
          </w:p>
          <w:p w14:paraId="126F0C19" w14:textId="24F248D3" w:rsidR="00186C57" w:rsidRPr="009B2768" w:rsidRDefault="0049183F" w:rsidP="000F0767">
            <w:pPr>
              <w:pStyle w:val="TableParagraph"/>
              <w:ind w:left="52" w:right="-9"/>
              <w:jc w:val="center"/>
              <w:rPr>
                <w:b/>
                <w:sz w:val="20"/>
              </w:rPr>
            </w:pPr>
            <w:hyperlink r:id="rId15" w:history="1">
              <w:r w:rsidR="00C93F57" w:rsidRPr="008D6487">
                <w:rPr>
                  <w:rStyle w:val="Hyperlink"/>
                  <w:b/>
                  <w:sz w:val="20"/>
                </w:rPr>
                <w:t>https://medlineplus.gov</w:t>
              </w:r>
            </w:hyperlink>
            <w:r w:rsidR="00C93F57">
              <w:rPr>
                <w:b/>
                <w:sz w:val="20"/>
              </w:rPr>
              <w:t xml:space="preserve"> </w:t>
            </w:r>
          </w:p>
        </w:tc>
        <w:tc>
          <w:tcPr>
            <w:tcW w:w="3653" w:type="dxa"/>
            <w:vAlign w:val="center"/>
          </w:tcPr>
          <w:p w14:paraId="492FC9D6" w14:textId="77777777" w:rsidR="00186C57" w:rsidRDefault="00000612" w:rsidP="0014665B">
            <w:pPr>
              <w:pStyle w:val="TableParagraph"/>
              <w:tabs>
                <w:tab w:val="left" w:pos="384"/>
              </w:tabs>
              <w:spacing w:before="59"/>
              <w:jc w:val="center"/>
              <w:rPr>
                <w:b/>
                <w:sz w:val="31"/>
              </w:rPr>
            </w:pPr>
            <w:bookmarkStart w:id="1" w:name="_Hlk506989054"/>
            <w:r w:rsidRPr="00000612">
              <w:rPr>
                <w:b/>
                <w:sz w:val="31"/>
              </w:rPr>
              <w:t>More than 695 million pageviews from 277 million users annually</w:t>
            </w:r>
            <w:bookmarkEnd w:id="1"/>
          </w:p>
        </w:tc>
        <w:tc>
          <w:tcPr>
            <w:tcW w:w="4147" w:type="dxa"/>
            <w:vAlign w:val="center"/>
          </w:tcPr>
          <w:p w14:paraId="495EFDC5" w14:textId="77777777" w:rsidR="00186C57" w:rsidRDefault="00936A1D">
            <w:pPr>
              <w:pStyle w:val="TableParagraph"/>
              <w:numPr>
                <w:ilvl w:val="0"/>
                <w:numId w:val="8"/>
              </w:numPr>
              <w:tabs>
                <w:tab w:val="left" w:pos="384"/>
              </w:tabs>
              <w:rPr>
                <w:sz w:val="19"/>
              </w:rPr>
            </w:pPr>
            <w:bookmarkStart w:id="2" w:name="_Hlk506989087"/>
            <w:r>
              <w:rPr>
                <w:w w:val="105"/>
                <w:sz w:val="19"/>
              </w:rPr>
              <w:t>Consumer health</w:t>
            </w:r>
            <w:r>
              <w:rPr>
                <w:spacing w:val="-9"/>
                <w:w w:val="105"/>
                <w:sz w:val="19"/>
              </w:rPr>
              <w:t xml:space="preserve"> </w:t>
            </w:r>
            <w:r>
              <w:rPr>
                <w:w w:val="105"/>
                <w:sz w:val="19"/>
              </w:rPr>
              <w:t>information</w:t>
            </w:r>
          </w:p>
          <w:p w14:paraId="5C3A3F0A" w14:textId="77777777" w:rsidR="00186C57" w:rsidRPr="00E643EA" w:rsidRDefault="00BA0387">
            <w:pPr>
              <w:pStyle w:val="TableParagraph"/>
              <w:numPr>
                <w:ilvl w:val="0"/>
                <w:numId w:val="8"/>
              </w:numPr>
              <w:tabs>
                <w:tab w:val="left" w:pos="384"/>
              </w:tabs>
              <w:spacing w:before="59"/>
              <w:rPr>
                <w:sz w:val="19"/>
              </w:rPr>
            </w:pPr>
            <w:r>
              <w:rPr>
                <w:w w:val="105"/>
                <w:sz w:val="19"/>
              </w:rPr>
              <w:t>More than</w:t>
            </w:r>
            <w:r w:rsidR="009E2A4A">
              <w:rPr>
                <w:w w:val="105"/>
                <w:sz w:val="19"/>
              </w:rPr>
              <w:t xml:space="preserve"> </w:t>
            </w:r>
            <w:r w:rsidR="00936A1D">
              <w:rPr>
                <w:w w:val="105"/>
                <w:sz w:val="19"/>
              </w:rPr>
              <w:t>1,</w:t>
            </w:r>
            <w:r w:rsidR="00936A1D" w:rsidRPr="00FB3B36">
              <w:rPr>
                <w:w w:val="105"/>
                <w:sz w:val="19"/>
              </w:rPr>
              <w:t>000</w:t>
            </w:r>
            <w:r w:rsidR="00936A1D">
              <w:rPr>
                <w:w w:val="105"/>
                <w:sz w:val="19"/>
              </w:rPr>
              <w:t xml:space="preserve"> health topics in English and</w:t>
            </w:r>
            <w:r w:rsidR="00936A1D">
              <w:rPr>
                <w:spacing w:val="-13"/>
                <w:w w:val="105"/>
                <w:sz w:val="19"/>
              </w:rPr>
              <w:t xml:space="preserve"> </w:t>
            </w:r>
            <w:r w:rsidR="00936A1D">
              <w:rPr>
                <w:w w:val="105"/>
                <w:sz w:val="19"/>
              </w:rPr>
              <w:t>Spanish</w:t>
            </w:r>
            <w:bookmarkEnd w:id="2"/>
            <w:r w:rsidR="00E643EA">
              <w:rPr>
                <w:w w:val="105"/>
                <w:sz w:val="19"/>
              </w:rPr>
              <w:t xml:space="preserve"> and more than 130 lab test pages </w:t>
            </w:r>
          </w:p>
          <w:p w14:paraId="41913F9E" w14:textId="77777777" w:rsidR="003232CD" w:rsidRDefault="003232CD">
            <w:pPr>
              <w:pStyle w:val="TableParagraph"/>
              <w:numPr>
                <w:ilvl w:val="0"/>
                <w:numId w:val="8"/>
              </w:numPr>
              <w:tabs>
                <w:tab w:val="left" w:pos="384"/>
              </w:tabs>
              <w:spacing w:before="59"/>
              <w:rPr>
                <w:sz w:val="19"/>
              </w:rPr>
            </w:pPr>
            <w:r w:rsidRPr="003232CD">
              <w:rPr>
                <w:sz w:val="19"/>
              </w:rPr>
              <w:t>MedlinePlus Connect link</w:t>
            </w:r>
            <w:r>
              <w:rPr>
                <w:sz w:val="19"/>
              </w:rPr>
              <w:t>s</w:t>
            </w:r>
            <w:r w:rsidRPr="003232CD">
              <w:rPr>
                <w:sz w:val="19"/>
              </w:rPr>
              <w:t xml:space="preserve"> to consumer information from </w:t>
            </w:r>
            <w:r>
              <w:rPr>
                <w:sz w:val="19"/>
              </w:rPr>
              <w:t>patients’</w:t>
            </w:r>
            <w:r w:rsidRPr="003232CD">
              <w:rPr>
                <w:sz w:val="19"/>
              </w:rPr>
              <w:t xml:space="preserve"> EHR</w:t>
            </w:r>
            <w:r>
              <w:rPr>
                <w:sz w:val="19"/>
              </w:rPr>
              <w:t>s</w:t>
            </w:r>
            <w:r w:rsidRPr="003232CD">
              <w:rPr>
                <w:sz w:val="19"/>
              </w:rPr>
              <w:t xml:space="preserve">. NLM fulfilled more than 156 million queries. </w:t>
            </w:r>
          </w:p>
        </w:tc>
      </w:tr>
      <w:tr w:rsidR="00186C57" w14:paraId="0136B07A" w14:textId="77777777" w:rsidTr="0014665B">
        <w:trPr>
          <w:trHeight w:hRule="exact" w:val="1091"/>
        </w:trPr>
        <w:tc>
          <w:tcPr>
            <w:tcW w:w="3144" w:type="dxa"/>
            <w:vAlign w:val="center"/>
          </w:tcPr>
          <w:p w14:paraId="1D56BC4A" w14:textId="499C0D71" w:rsidR="00186C57" w:rsidRDefault="000F0767" w:rsidP="00FB3B36">
            <w:pPr>
              <w:pStyle w:val="TableParagraph"/>
              <w:spacing w:before="3"/>
              <w:jc w:val="center"/>
              <w:rPr>
                <w:b/>
                <w:sz w:val="6"/>
              </w:rPr>
            </w:pPr>
            <w:r>
              <w:rPr>
                <w:noProof/>
                <w:sz w:val="20"/>
              </w:rPr>
              <w:drawing>
                <wp:inline distT="0" distB="0" distL="0" distR="0" wp14:anchorId="11697F0C" wp14:editId="02BC7F32">
                  <wp:extent cx="1075334" cy="399973"/>
                  <wp:effectExtent l="0" t="0" r="0" b="635"/>
                  <wp:docPr id="7" name="image4.jp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075334" cy="399973"/>
                          </a:xfrm>
                          <a:prstGeom prst="rect">
                            <a:avLst/>
                          </a:prstGeom>
                        </pic:spPr>
                      </pic:pic>
                    </a:graphicData>
                  </a:graphic>
                </wp:inline>
              </w:drawing>
            </w:r>
          </w:p>
          <w:p w14:paraId="23821A8E" w14:textId="3974DA5F" w:rsidR="00186C57" w:rsidRPr="009B2768" w:rsidRDefault="0049183F" w:rsidP="00FB3B36">
            <w:pPr>
              <w:pStyle w:val="TableParagraph"/>
              <w:ind w:left="52" w:right="-7"/>
              <w:jc w:val="center"/>
              <w:rPr>
                <w:b/>
                <w:sz w:val="18"/>
                <w:szCs w:val="18"/>
              </w:rPr>
            </w:pPr>
            <w:hyperlink r:id="rId18" w:history="1">
              <w:r w:rsidR="00C93F57" w:rsidRPr="008D6487">
                <w:rPr>
                  <w:rStyle w:val="Hyperlink"/>
                  <w:b/>
                  <w:sz w:val="18"/>
                  <w:szCs w:val="18"/>
                </w:rPr>
                <w:t>https://www.ncbi.nlm.nih.gov/pubmed</w:t>
              </w:r>
            </w:hyperlink>
            <w:r w:rsidR="00C93F57">
              <w:rPr>
                <w:b/>
                <w:sz w:val="18"/>
                <w:szCs w:val="18"/>
              </w:rPr>
              <w:t xml:space="preserve"> </w:t>
            </w:r>
          </w:p>
        </w:tc>
        <w:tc>
          <w:tcPr>
            <w:tcW w:w="3653" w:type="dxa"/>
            <w:vAlign w:val="center"/>
          </w:tcPr>
          <w:p w14:paraId="514191DA" w14:textId="77777777" w:rsidR="00186C57" w:rsidRDefault="00E643EA" w:rsidP="005B7FE3">
            <w:pPr>
              <w:pStyle w:val="TableParagraph"/>
              <w:ind w:left="106" w:right="101"/>
              <w:jc w:val="center"/>
              <w:rPr>
                <w:b/>
                <w:sz w:val="31"/>
              </w:rPr>
            </w:pPr>
            <w:r>
              <w:rPr>
                <w:b/>
                <w:sz w:val="31"/>
              </w:rPr>
              <w:t xml:space="preserve">More than </w:t>
            </w:r>
            <w:r w:rsidR="00936A1D" w:rsidRPr="00FB3B36">
              <w:rPr>
                <w:b/>
                <w:sz w:val="31"/>
              </w:rPr>
              <w:t>2</w:t>
            </w:r>
            <w:r>
              <w:rPr>
                <w:b/>
                <w:sz w:val="31"/>
              </w:rPr>
              <w:t>9.1</w:t>
            </w:r>
            <w:r w:rsidR="00936A1D" w:rsidRPr="00AE7D44">
              <w:rPr>
                <w:b/>
                <w:sz w:val="31"/>
              </w:rPr>
              <w:t xml:space="preserve"> million</w:t>
            </w:r>
            <w:r w:rsidR="00936A1D">
              <w:rPr>
                <w:b/>
                <w:sz w:val="31"/>
              </w:rPr>
              <w:t xml:space="preserve"> journal citations</w:t>
            </w:r>
          </w:p>
        </w:tc>
        <w:tc>
          <w:tcPr>
            <w:tcW w:w="4147" w:type="dxa"/>
            <w:vAlign w:val="center"/>
          </w:tcPr>
          <w:p w14:paraId="5B8530FC" w14:textId="77777777" w:rsidR="00186C57" w:rsidRDefault="00936A1D">
            <w:pPr>
              <w:pStyle w:val="TableParagraph"/>
              <w:numPr>
                <w:ilvl w:val="0"/>
                <w:numId w:val="7"/>
              </w:numPr>
              <w:tabs>
                <w:tab w:val="left" w:pos="384"/>
              </w:tabs>
              <w:spacing w:line="252" w:lineRule="auto"/>
              <w:ind w:right="604"/>
              <w:rPr>
                <w:sz w:val="19"/>
              </w:rPr>
            </w:pPr>
            <w:bookmarkStart w:id="3" w:name="_Hlk506989247"/>
            <w:r>
              <w:rPr>
                <w:w w:val="105"/>
                <w:sz w:val="19"/>
              </w:rPr>
              <w:t>Citations from MEDLINE, life science journals, and online</w:t>
            </w:r>
            <w:r>
              <w:rPr>
                <w:spacing w:val="-8"/>
                <w:w w:val="105"/>
                <w:sz w:val="19"/>
              </w:rPr>
              <w:t xml:space="preserve"> </w:t>
            </w:r>
            <w:r>
              <w:rPr>
                <w:w w:val="105"/>
                <w:sz w:val="19"/>
              </w:rPr>
              <w:t>books</w:t>
            </w:r>
          </w:p>
          <w:p w14:paraId="1FB516C1" w14:textId="77777777" w:rsidR="00186C57" w:rsidRDefault="00936A1D">
            <w:pPr>
              <w:pStyle w:val="TableParagraph"/>
              <w:numPr>
                <w:ilvl w:val="0"/>
                <w:numId w:val="7"/>
              </w:numPr>
              <w:tabs>
                <w:tab w:val="left" w:pos="384"/>
              </w:tabs>
              <w:spacing w:before="50"/>
              <w:rPr>
                <w:sz w:val="19"/>
              </w:rPr>
            </w:pPr>
            <w:r>
              <w:rPr>
                <w:w w:val="105"/>
                <w:sz w:val="19"/>
              </w:rPr>
              <w:t xml:space="preserve">Searched by </w:t>
            </w:r>
            <w:r w:rsidRPr="00FB3B36">
              <w:rPr>
                <w:w w:val="105"/>
                <w:sz w:val="19"/>
              </w:rPr>
              <w:t>2.</w:t>
            </w:r>
            <w:r w:rsidR="00C94062">
              <w:rPr>
                <w:w w:val="105"/>
                <w:sz w:val="19"/>
              </w:rPr>
              <w:t>9</w:t>
            </w:r>
            <w:r>
              <w:rPr>
                <w:w w:val="105"/>
                <w:sz w:val="19"/>
              </w:rPr>
              <w:t xml:space="preserve"> million users each</w:t>
            </w:r>
            <w:r>
              <w:rPr>
                <w:spacing w:val="-9"/>
                <w:w w:val="105"/>
                <w:sz w:val="19"/>
              </w:rPr>
              <w:t xml:space="preserve"> </w:t>
            </w:r>
            <w:r>
              <w:rPr>
                <w:w w:val="105"/>
                <w:sz w:val="19"/>
              </w:rPr>
              <w:t>day</w:t>
            </w:r>
            <w:bookmarkEnd w:id="3"/>
          </w:p>
        </w:tc>
      </w:tr>
    </w:tbl>
    <w:p w14:paraId="7E9D0BA6" w14:textId="77777777" w:rsidR="00C93F57" w:rsidRDefault="00C93F57">
      <w:r>
        <w:br w:type="page"/>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3144"/>
        <w:gridCol w:w="3653"/>
        <w:gridCol w:w="4147"/>
      </w:tblGrid>
      <w:tr w:rsidR="00C93F57" w14:paraId="44FB1ED9" w14:textId="77777777" w:rsidTr="007627DB">
        <w:trPr>
          <w:trHeight w:hRule="exact" w:val="581"/>
        </w:trPr>
        <w:tc>
          <w:tcPr>
            <w:tcW w:w="3144" w:type="dxa"/>
          </w:tcPr>
          <w:p w14:paraId="5F5182E0" w14:textId="13960DD3" w:rsidR="00C93F57" w:rsidRDefault="00C93F57" w:rsidP="007627DB">
            <w:pPr>
              <w:pStyle w:val="TableParagraph"/>
              <w:spacing w:before="79"/>
              <w:ind w:left="659"/>
              <w:rPr>
                <w:rFonts w:ascii="Calibri"/>
                <w:b/>
                <w:i/>
                <w:sz w:val="31"/>
              </w:rPr>
            </w:pPr>
            <w:r>
              <w:rPr>
                <w:rFonts w:ascii="Calibri"/>
                <w:b/>
                <w:i/>
                <w:color w:val="4F81BD"/>
                <w:sz w:val="31"/>
              </w:rPr>
              <w:lastRenderedPageBreak/>
              <w:t>NLM Website</w:t>
            </w:r>
          </w:p>
        </w:tc>
        <w:tc>
          <w:tcPr>
            <w:tcW w:w="3653" w:type="dxa"/>
          </w:tcPr>
          <w:p w14:paraId="5516B3C0" w14:textId="77777777" w:rsidR="00C93F57" w:rsidRDefault="00C93F57" w:rsidP="007627DB">
            <w:pPr>
              <w:pStyle w:val="TableParagraph"/>
              <w:spacing w:before="79"/>
              <w:ind w:left="107" w:right="101"/>
              <w:jc w:val="center"/>
              <w:rPr>
                <w:rFonts w:ascii="Calibri"/>
                <w:b/>
                <w:i/>
                <w:sz w:val="31"/>
              </w:rPr>
            </w:pPr>
            <w:r>
              <w:rPr>
                <w:rFonts w:ascii="Calibri"/>
                <w:b/>
                <w:i/>
                <w:color w:val="4F81BD"/>
                <w:sz w:val="31"/>
              </w:rPr>
              <w:t>Key Statistic</w:t>
            </w:r>
          </w:p>
        </w:tc>
        <w:tc>
          <w:tcPr>
            <w:tcW w:w="4147" w:type="dxa"/>
          </w:tcPr>
          <w:p w14:paraId="62FAA790" w14:textId="77777777" w:rsidR="00C93F57" w:rsidRDefault="00C93F57" w:rsidP="007627DB">
            <w:pPr>
              <w:pStyle w:val="TableParagraph"/>
              <w:spacing w:before="79"/>
              <w:ind w:left="840"/>
              <w:rPr>
                <w:rFonts w:ascii="Calibri"/>
                <w:b/>
                <w:i/>
                <w:sz w:val="31"/>
              </w:rPr>
            </w:pPr>
            <w:r>
              <w:rPr>
                <w:rFonts w:ascii="Calibri"/>
                <w:b/>
                <w:i/>
                <w:color w:val="4F81BD"/>
                <w:sz w:val="31"/>
              </w:rPr>
              <w:t>Other</w:t>
            </w:r>
            <w:r>
              <w:rPr>
                <w:rFonts w:ascii="Calibri"/>
                <w:b/>
                <w:i/>
                <w:color w:val="4F81BD"/>
                <w:spacing w:val="65"/>
                <w:sz w:val="31"/>
              </w:rPr>
              <w:t xml:space="preserve"> </w:t>
            </w:r>
            <w:r>
              <w:rPr>
                <w:rFonts w:ascii="Calibri"/>
                <w:b/>
                <w:i/>
                <w:color w:val="4F81BD"/>
                <w:sz w:val="31"/>
              </w:rPr>
              <w:t>Information</w:t>
            </w:r>
          </w:p>
        </w:tc>
      </w:tr>
      <w:tr w:rsidR="00186C57" w:rsidRPr="00081391" w14:paraId="7F46A38D" w14:textId="77777777" w:rsidTr="0014665B">
        <w:trPr>
          <w:trHeight w:hRule="exact" w:val="2738"/>
        </w:trPr>
        <w:tc>
          <w:tcPr>
            <w:tcW w:w="3144" w:type="dxa"/>
            <w:vAlign w:val="center"/>
          </w:tcPr>
          <w:p w14:paraId="2A1CDAF0" w14:textId="77F2F448" w:rsidR="00186C57" w:rsidRDefault="000F0767" w:rsidP="00FB3B36">
            <w:pPr>
              <w:pStyle w:val="TableParagraph"/>
              <w:spacing w:before="4"/>
              <w:jc w:val="center"/>
              <w:rPr>
                <w:b/>
                <w:sz w:val="6"/>
              </w:rPr>
            </w:pPr>
            <w:r>
              <w:rPr>
                <w:noProof/>
                <w:sz w:val="20"/>
              </w:rPr>
              <w:drawing>
                <wp:inline distT="0" distB="0" distL="0" distR="0" wp14:anchorId="3E926179" wp14:editId="10B2276A">
                  <wp:extent cx="1623974" cy="848895"/>
                  <wp:effectExtent l="0" t="0" r="0" b="8890"/>
                  <wp:docPr id="9" name="image5.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a:extLst>
                              <a:ext uri="{28A0092B-C50C-407E-A947-70E740481C1C}">
                                <a14:useLocalDpi xmlns:a14="http://schemas.microsoft.com/office/drawing/2010/main" val="0"/>
                              </a:ext>
                            </a:extLst>
                          </a:blip>
                          <a:stretch>
                            <a:fillRect/>
                          </a:stretch>
                        </pic:blipFill>
                        <pic:spPr>
                          <a:xfrm>
                            <a:off x="0" y="0"/>
                            <a:ext cx="1639774" cy="857154"/>
                          </a:xfrm>
                          <a:prstGeom prst="rect">
                            <a:avLst/>
                          </a:prstGeom>
                        </pic:spPr>
                      </pic:pic>
                    </a:graphicData>
                  </a:graphic>
                </wp:inline>
              </w:drawing>
            </w:r>
          </w:p>
          <w:p w14:paraId="6B89E149" w14:textId="77777777" w:rsidR="000F0767" w:rsidRDefault="000F0767" w:rsidP="00FB3B36">
            <w:pPr>
              <w:pStyle w:val="TableParagraph"/>
              <w:ind w:left="52" w:right="-8"/>
              <w:jc w:val="center"/>
              <w:rPr>
                <w:sz w:val="20"/>
              </w:rPr>
            </w:pPr>
          </w:p>
          <w:p w14:paraId="3007FFE2" w14:textId="75F14B68" w:rsidR="00186C57" w:rsidRPr="009B2768" w:rsidRDefault="0049183F" w:rsidP="00FB3B36">
            <w:pPr>
              <w:pStyle w:val="TableParagraph"/>
              <w:ind w:left="52" w:right="-8"/>
              <w:jc w:val="center"/>
              <w:rPr>
                <w:b/>
                <w:sz w:val="20"/>
              </w:rPr>
            </w:pPr>
            <w:hyperlink r:id="rId21" w:history="1">
              <w:r w:rsidR="00C93F57" w:rsidRPr="008D6487">
                <w:rPr>
                  <w:rStyle w:val="Hyperlink"/>
                  <w:b/>
                  <w:sz w:val="20"/>
                </w:rPr>
                <w:t>https://www.ncbi.nlm.nih.gov/pmc</w:t>
              </w:r>
            </w:hyperlink>
            <w:r w:rsidR="00C93F57">
              <w:rPr>
                <w:b/>
                <w:sz w:val="20"/>
              </w:rPr>
              <w:t xml:space="preserve"> </w:t>
            </w:r>
          </w:p>
        </w:tc>
        <w:tc>
          <w:tcPr>
            <w:tcW w:w="3653" w:type="dxa"/>
            <w:vAlign w:val="center"/>
          </w:tcPr>
          <w:p w14:paraId="3DF04626" w14:textId="77777777" w:rsidR="00186C57" w:rsidRDefault="00936A1D" w:rsidP="005B7FE3">
            <w:pPr>
              <w:pStyle w:val="TableParagraph"/>
              <w:spacing w:line="249" w:lineRule="auto"/>
              <w:ind w:left="108" w:right="101"/>
              <w:jc w:val="center"/>
              <w:rPr>
                <w:b/>
                <w:sz w:val="31"/>
              </w:rPr>
            </w:pPr>
            <w:bookmarkStart w:id="4" w:name="_Hlk506973474"/>
            <w:r>
              <w:rPr>
                <w:b/>
                <w:sz w:val="31"/>
              </w:rPr>
              <w:t xml:space="preserve">Free access </w:t>
            </w:r>
            <w:r w:rsidR="00E643EA">
              <w:rPr>
                <w:b/>
                <w:sz w:val="31"/>
              </w:rPr>
              <w:t>to more than 5.1</w:t>
            </w:r>
            <w:r>
              <w:rPr>
                <w:b/>
                <w:sz w:val="31"/>
              </w:rPr>
              <w:t xml:space="preserve"> million articles on Pub</w:t>
            </w:r>
            <w:r w:rsidR="00D151C8">
              <w:rPr>
                <w:b/>
                <w:sz w:val="31"/>
              </w:rPr>
              <w:t>M</w:t>
            </w:r>
            <w:r>
              <w:rPr>
                <w:b/>
                <w:sz w:val="31"/>
              </w:rPr>
              <w:t>ed Central</w:t>
            </w:r>
            <w:bookmarkEnd w:id="4"/>
          </w:p>
        </w:tc>
        <w:tc>
          <w:tcPr>
            <w:tcW w:w="4147" w:type="dxa"/>
            <w:vAlign w:val="center"/>
          </w:tcPr>
          <w:p w14:paraId="45BFF51C" w14:textId="77777777" w:rsidR="00186C57" w:rsidRPr="00FB3B36" w:rsidRDefault="00E643EA">
            <w:pPr>
              <w:pStyle w:val="TableParagraph"/>
              <w:numPr>
                <w:ilvl w:val="0"/>
                <w:numId w:val="6"/>
              </w:numPr>
              <w:tabs>
                <w:tab w:val="left" w:pos="384"/>
              </w:tabs>
              <w:spacing w:before="1" w:line="252" w:lineRule="auto"/>
              <w:ind w:right="193"/>
              <w:rPr>
                <w:sz w:val="19"/>
                <w:szCs w:val="19"/>
              </w:rPr>
            </w:pPr>
            <w:bookmarkStart w:id="5" w:name="_Hlk506973498"/>
            <w:r>
              <w:rPr>
                <w:w w:val="105"/>
                <w:sz w:val="19"/>
                <w:szCs w:val="19"/>
              </w:rPr>
              <w:t xml:space="preserve">On a typical day, more than </w:t>
            </w:r>
            <w:r w:rsidR="00081391" w:rsidRPr="00FB3B36">
              <w:rPr>
                <w:w w:val="105"/>
                <w:sz w:val="19"/>
                <w:szCs w:val="19"/>
              </w:rPr>
              <w:t>2</w:t>
            </w:r>
            <w:r>
              <w:rPr>
                <w:w w:val="105"/>
                <w:sz w:val="19"/>
                <w:szCs w:val="19"/>
              </w:rPr>
              <w:t>.5</w:t>
            </w:r>
            <w:r w:rsidR="00936A1D" w:rsidRPr="00FB3B36">
              <w:rPr>
                <w:w w:val="105"/>
                <w:sz w:val="19"/>
                <w:szCs w:val="19"/>
              </w:rPr>
              <w:t xml:space="preserve"> million users download </w:t>
            </w:r>
            <w:r w:rsidR="0070187D" w:rsidRPr="00FB3B36">
              <w:rPr>
                <w:w w:val="105"/>
                <w:sz w:val="19"/>
                <w:szCs w:val="19"/>
              </w:rPr>
              <w:t xml:space="preserve">more than </w:t>
            </w:r>
            <w:r>
              <w:rPr>
                <w:w w:val="105"/>
                <w:sz w:val="19"/>
                <w:szCs w:val="19"/>
              </w:rPr>
              <w:t xml:space="preserve">5 </w:t>
            </w:r>
            <w:r w:rsidR="00936A1D" w:rsidRPr="00FB3B36">
              <w:rPr>
                <w:w w:val="105"/>
                <w:sz w:val="19"/>
                <w:szCs w:val="19"/>
              </w:rPr>
              <w:t>million</w:t>
            </w:r>
            <w:r w:rsidR="00936A1D" w:rsidRPr="00FB3B36">
              <w:rPr>
                <w:spacing w:val="-8"/>
                <w:w w:val="105"/>
                <w:sz w:val="19"/>
                <w:szCs w:val="19"/>
              </w:rPr>
              <w:t xml:space="preserve"> </w:t>
            </w:r>
            <w:r w:rsidR="00936A1D" w:rsidRPr="00FB3B36">
              <w:rPr>
                <w:w w:val="105"/>
                <w:sz w:val="19"/>
                <w:szCs w:val="19"/>
              </w:rPr>
              <w:t>articles</w:t>
            </w:r>
          </w:p>
          <w:p w14:paraId="702B1879" w14:textId="77777777" w:rsidR="00186C57" w:rsidRPr="00FB3B36" w:rsidRDefault="00936A1D">
            <w:pPr>
              <w:pStyle w:val="TableParagraph"/>
              <w:numPr>
                <w:ilvl w:val="0"/>
                <w:numId w:val="6"/>
              </w:numPr>
              <w:tabs>
                <w:tab w:val="left" w:pos="384"/>
              </w:tabs>
              <w:spacing w:before="50" w:line="252" w:lineRule="auto"/>
              <w:ind w:right="77"/>
              <w:rPr>
                <w:sz w:val="19"/>
                <w:szCs w:val="19"/>
              </w:rPr>
            </w:pPr>
            <w:r w:rsidRPr="00FB3B36">
              <w:rPr>
                <w:w w:val="105"/>
                <w:sz w:val="19"/>
                <w:szCs w:val="19"/>
              </w:rPr>
              <w:t xml:space="preserve">Congressionally mandated NIH public access policy </w:t>
            </w:r>
            <w:r w:rsidR="00E643EA">
              <w:rPr>
                <w:w w:val="105"/>
                <w:sz w:val="19"/>
                <w:szCs w:val="19"/>
              </w:rPr>
              <w:t xml:space="preserve">has added 1 million articles, which have been viewed more than 1 billion times </w:t>
            </w:r>
          </w:p>
          <w:p w14:paraId="4056C9FA" w14:textId="77777777" w:rsidR="00186C57" w:rsidRPr="00E643EA" w:rsidRDefault="00936A1D">
            <w:pPr>
              <w:pStyle w:val="TableParagraph"/>
              <w:numPr>
                <w:ilvl w:val="0"/>
                <w:numId w:val="6"/>
              </w:numPr>
              <w:tabs>
                <w:tab w:val="left" w:pos="384"/>
              </w:tabs>
              <w:spacing w:before="50" w:line="252" w:lineRule="auto"/>
              <w:ind w:right="298"/>
              <w:rPr>
                <w:sz w:val="19"/>
                <w:szCs w:val="19"/>
              </w:rPr>
            </w:pPr>
            <w:r w:rsidRPr="00FB3B36">
              <w:rPr>
                <w:w w:val="105"/>
                <w:sz w:val="19"/>
                <w:szCs w:val="19"/>
              </w:rPr>
              <w:t>Supports public access policies of 1</w:t>
            </w:r>
            <w:r w:rsidR="00E643EA">
              <w:rPr>
                <w:w w:val="105"/>
                <w:sz w:val="19"/>
                <w:szCs w:val="19"/>
              </w:rPr>
              <w:t>0</w:t>
            </w:r>
            <w:r w:rsidRPr="00FB3B36">
              <w:rPr>
                <w:w w:val="105"/>
                <w:sz w:val="19"/>
                <w:szCs w:val="19"/>
              </w:rPr>
              <w:t xml:space="preserve"> other Federal</w:t>
            </w:r>
            <w:r w:rsidRPr="00FB3B36">
              <w:rPr>
                <w:spacing w:val="-5"/>
                <w:w w:val="105"/>
                <w:sz w:val="19"/>
                <w:szCs w:val="19"/>
              </w:rPr>
              <w:t xml:space="preserve"> </w:t>
            </w:r>
            <w:r w:rsidRPr="00FB3B36">
              <w:rPr>
                <w:w w:val="105"/>
                <w:sz w:val="19"/>
                <w:szCs w:val="19"/>
              </w:rPr>
              <w:t>agencies</w:t>
            </w:r>
          </w:p>
          <w:p w14:paraId="5C8F4493" w14:textId="77777777" w:rsidR="00AB01C1" w:rsidRPr="003232CD" w:rsidRDefault="00E643EA" w:rsidP="003232CD">
            <w:pPr>
              <w:pStyle w:val="TableParagraph"/>
              <w:numPr>
                <w:ilvl w:val="0"/>
                <w:numId w:val="6"/>
              </w:numPr>
              <w:tabs>
                <w:tab w:val="left" w:pos="384"/>
              </w:tabs>
              <w:spacing w:before="50" w:line="252" w:lineRule="auto"/>
              <w:ind w:right="298"/>
              <w:rPr>
                <w:sz w:val="19"/>
                <w:szCs w:val="19"/>
              </w:rPr>
            </w:pPr>
            <w:r>
              <w:rPr>
                <w:sz w:val="19"/>
                <w:szCs w:val="19"/>
              </w:rPr>
              <w:t>Coordinates with publishers and authors to make supporting datasets available or discoverable directly from the literature</w:t>
            </w:r>
            <w:bookmarkEnd w:id="5"/>
            <w:r w:rsidR="003232CD">
              <w:rPr>
                <w:sz w:val="19"/>
                <w:szCs w:val="19"/>
              </w:rPr>
              <w:t>.</w:t>
            </w:r>
          </w:p>
        </w:tc>
      </w:tr>
      <w:tr w:rsidR="00E06474" w14:paraId="68E0D4B5" w14:textId="77777777" w:rsidTr="0014665B">
        <w:trPr>
          <w:trHeight w:hRule="exact" w:val="2351"/>
        </w:trPr>
        <w:tc>
          <w:tcPr>
            <w:tcW w:w="3144" w:type="dxa"/>
            <w:vAlign w:val="center"/>
          </w:tcPr>
          <w:p w14:paraId="53FD447E" w14:textId="6F464FF5" w:rsidR="00E06474" w:rsidRDefault="000F0767" w:rsidP="007A45E5">
            <w:pPr>
              <w:pStyle w:val="TableParagraph"/>
              <w:spacing w:before="7"/>
              <w:jc w:val="center"/>
              <w:rPr>
                <w:b/>
                <w:sz w:val="6"/>
              </w:rPr>
            </w:pPr>
            <w:r>
              <w:rPr>
                <w:noProof/>
                <w:sz w:val="20"/>
              </w:rPr>
              <w:drawing>
                <wp:inline distT="0" distB="0" distL="0" distR="0" wp14:anchorId="77764D48" wp14:editId="107FB6EC">
                  <wp:extent cx="1915914" cy="455266"/>
                  <wp:effectExtent l="0" t="0" r="0" b="2540"/>
                  <wp:docPr id="17" name="image9.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3">
                            <a:extLst>
                              <a:ext uri="{28A0092B-C50C-407E-A947-70E740481C1C}">
                                <a14:useLocalDpi xmlns:a14="http://schemas.microsoft.com/office/drawing/2010/main" val="0"/>
                              </a:ext>
                            </a:extLst>
                          </a:blip>
                          <a:stretch>
                            <a:fillRect/>
                          </a:stretch>
                        </pic:blipFill>
                        <pic:spPr>
                          <a:xfrm>
                            <a:off x="0" y="0"/>
                            <a:ext cx="1915914" cy="455266"/>
                          </a:xfrm>
                          <a:prstGeom prst="rect">
                            <a:avLst/>
                          </a:prstGeom>
                        </pic:spPr>
                      </pic:pic>
                    </a:graphicData>
                  </a:graphic>
                </wp:inline>
              </w:drawing>
            </w:r>
          </w:p>
          <w:p w14:paraId="694BAC65" w14:textId="77777777" w:rsidR="000F0767" w:rsidRDefault="000F0767" w:rsidP="007A45E5">
            <w:pPr>
              <w:pStyle w:val="TableParagraph"/>
              <w:ind w:left="52" w:right="-10"/>
              <w:jc w:val="center"/>
              <w:rPr>
                <w:sz w:val="20"/>
              </w:rPr>
            </w:pPr>
          </w:p>
          <w:p w14:paraId="363981BF" w14:textId="2DFEBB42" w:rsidR="00E06474" w:rsidRPr="009B2768" w:rsidRDefault="0049183F" w:rsidP="000F0767">
            <w:pPr>
              <w:pStyle w:val="TableParagraph"/>
              <w:ind w:right="-10"/>
              <w:jc w:val="center"/>
              <w:rPr>
                <w:b/>
                <w:sz w:val="20"/>
              </w:rPr>
            </w:pPr>
            <w:hyperlink r:id="rId24" w:history="1">
              <w:r w:rsidR="00C93F57" w:rsidRPr="008D6487">
                <w:rPr>
                  <w:rStyle w:val="Hyperlink"/>
                  <w:b/>
                  <w:sz w:val="20"/>
                </w:rPr>
                <w:t>https://nnlm.gov</w:t>
              </w:r>
            </w:hyperlink>
            <w:r w:rsidR="00C93F57">
              <w:rPr>
                <w:b/>
                <w:sz w:val="20"/>
              </w:rPr>
              <w:t xml:space="preserve"> </w:t>
            </w:r>
          </w:p>
        </w:tc>
        <w:tc>
          <w:tcPr>
            <w:tcW w:w="3653" w:type="dxa"/>
            <w:vAlign w:val="center"/>
          </w:tcPr>
          <w:p w14:paraId="57334C69" w14:textId="77777777" w:rsidR="00E06474" w:rsidRDefault="00E06474" w:rsidP="005B7FE3">
            <w:pPr>
              <w:pStyle w:val="TableParagraph"/>
              <w:spacing w:line="249" w:lineRule="auto"/>
              <w:ind w:left="109" w:right="101"/>
              <w:jc w:val="center"/>
              <w:rPr>
                <w:b/>
                <w:sz w:val="31"/>
              </w:rPr>
            </w:pPr>
            <w:r>
              <w:rPr>
                <w:b/>
                <w:sz w:val="31"/>
              </w:rPr>
              <w:t>7,100 members in communities nationwide</w:t>
            </w:r>
          </w:p>
        </w:tc>
        <w:tc>
          <w:tcPr>
            <w:tcW w:w="4147" w:type="dxa"/>
            <w:vAlign w:val="center"/>
          </w:tcPr>
          <w:p w14:paraId="660731AF" w14:textId="77777777" w:rsidR="00E06474" w:rsidRDefault="00E06474" w:rsidP="007A45E5">
            <w:pPr>
              <w:pStyle w:val="TableParagraph"/>
              <w:numPr>
                <w:ilvl w:val="0"/>
                <w:numId w:val="2"/>
              </w:numPr>
              <w:tabs>
                <w:tab w:val="left" w:pos="384"/>
              </w:tabs>
              <w:spacing w:line="252" w:lineRule="auto"/>
              <w:ind w:right="271"/>
              <w:rPr>
                <w:sz w:val="19"/>
              </w:rPr>
            </w:pPr>
            <w:r>
              <w:rPr>
                <w:w w:val="105"/>
                <w:sz w:val="19"/>
              </w:rPr>
              <w:t>Trains medical librarians, health professionals, and the general public to use NLM resources and</w:t>
            </w:r>
            <w:r>
              <w:rPr>
                <w:spacing w:val="-6"/>
                <w:w w:val="105"/>
                <w:sz w:val="19"/>
              </w:rPr>
              <w:t xml:space="preserve"> </w:t>
            </w:r>
            <w:r>
              <w:rPr>
                <w:w w:val="105"/>
                <w:sz w:val="19"/>
              </w:rPr>
              <w:t>services</w:t>
            </w:r>
          </w:p>
          <w:p w14:paraId="3D09E2BD" w14:textId="77777777" w:rsidR="00E06474" w:rsidRPr="00FB3B36" w:rsidRDefault="00E06474" w:rsidP="007A45E5">
            <w:pPr>
              <w:pStyle w:val="TableParagraph"/>
              <w:numPr>
                <w:ilvl w:val="0"/>
                <w:numId w:val="2"/>
              </w:numPr>
              <w:tabs>
                <w:tab w:val="left" w:pos="384"/>
              </w:tabs>
              <w:spacing w:before="50" w:line="252" w:lineRule="auto"/>
              <w:ind w:right="112"/>
              <w:rPr>
                <w:sz w:val="19"/>
              </w:rPr>
            </w:pPr>
            <w:r>
              <w:rPr>
                <w:w w:val="105"/>
                <w:sz w:val="19"/>
              </w:rPr>
              <w:t>Outreach to public libraries, secondary schools, senior centers, etc., and underserved populations</w:t>
            </w:r>
          </w:p>
          <w:p w14:paraId="3F4C302C" w14:textId="77777777" w:rsidR="00E06474" w:rsidRPr="00000612" w:rsidRDefault="00E06474" w:rsidP="00000612">
            <w:pPr>
              <w:pStyle w:val="ListParagraph"/>
              <w:numPr>
                <w:ilvl w:val="0"/>
                <w:numId w:val="2"/>
              </w:numPr>
              <w:rPr>
                <w:w w:val="105"/>
                <w:sz w:val="19"/>
              </w:rPr>
            </w:pPr>
            <w:r>
              <w:rPr>
                <w:w w:val="105"/>
                <w:sz w:val="19"/>
              </w:rPr>
              <w:t xml:space="preserve">Collaboration with </w:t>
            </w:r>
            <w:r w:rsidRPr="001578BA">
              <w:rPr>
                <w:w w:val="105"/>
                <w:sz w:val="19"/>
              </w:rPr>
              <w:t xml:space="preserve">NIH’s </w:t>
            </w:r>
            <w:r w:rsidRPr="00FB3B36">
              <w:rPr>
                <w:i/>
                <w:w w:val="105"/>
                <w:sz w:val="19"/>
              </w:rPr>
              <w:t>All of Us</w:t>
            </w:r>
            <w:r w:rsidRPr="001578BA">
              <w:rPr>
                <w:w w:val="105"/>
                <w:sz w:val="19"/>
              </w:rPr>
              <w:t xml:space="preserve"> initiative to engage local communities, raise awareness</w:t>
            </w:r>
            <w:r>
              <w:rPr>
                <w:w w:val="105"/>
                <w:sz w:val="19"/>
              </w:rPr>
              <w:t>,</w:t>
            </w:r>
            <w:r w:rsidRPr="001578BA">
              <w:rPr>
                <w:w w:val="105"/>
                <w:sz w:val="19"/>
              </w:rPr>
              <w:t xml:space="preserve"> and improve health literacy. </w:t>
            </w:r>
          </w:p>
        </w:tc>
      </w:tr>
      <w:tr w:rsidR="00186C57" w14:paraId="3C785C6A" w14:textId="77777777" w:rsidTr="0014665B">
        <w:trPr>
          <w:trHeight w:hRule="exact" w:val="1460"/>
        </w:trPr>
        <w:tc>
          <w:tcPr>
            <w:tcW w:w="3144" w:type="dxa"/>
            <w:vAlign w:val="center"/>
          </w:tcPr>
          <w:p w14:paraId="144D23F6" w14:textId="778A2F55" w:rsidR="00186C57" w:rsidRDefault="000F0767" w:rsidP="00FB3B36">
            <w:pPr>
              <w:pStyle w:val="TableParagraph"/>
              <w:jc w:val="center"/>
              <w:rPr>
                <w:b/>
                <w:sz w:val="20"/>
              </w:rPr>
            </w:pPr>
            <w:r>
              <w:rPr>
                <w:noProof/>
                <w:sz w:val="20"/>
              </w:rPr>
              <w:drawing>
                <wp:inline distT="0" distB="0" distL="0" distR="0" wp14:anchorId="0B46C4EC" wp14:editId="34FD3AB9">
                  <wp:extent cx="1748053" cy="285515"/>
                  <wp:effectExtent l="0" t="0" r="5080" b="635"/>
                  <wp:docPr id="11" name="image6.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6" cstate="print"/>
                          <a:stretch>
                            <a:fillRect/>
                          </a:stretch>
                        </pic:blipFill>
                        <pic:spPr>
                          <a:xfrm>
                            <a:off x="0" y="0"/>
                            <a:ext cx="1780866" cy="290875"/>
                          </a:xfrm>
                          <a:prstGeom prst="rect">
                            <a:avLst/>
                          </a:prstGeom>
                        </pic:spPr>
                      </pic:pic>
                    </a:graphicData>
                  </a:graphic>
                </wp:inline>
              </w:drawing>
            </w:r>
          </w:p>
          <w:p w14:paraId="6E693FAC" w14:textId="77777777" w:rsidR="00186C57" w:rsidRDefault="00186C57" w:rsidP="00FB3B36">
            <w:pPr>
              <w:pStyle w:val="TableParagraph"/>
              <w:spacing w:before="2"/>
              <w:jc w:val="center"/>
              <w:rPr>
                <w:b/>
                <w:sz w:val="13"/>
              </w:rPr>
            </w:pPr>
          </w:p>
          <w:p w14:paraId="56BCA93C" w14:textId="23F56217" w:rsidR="00186C57" w:rsidRPr="009B2768" w:rsidRDefault="0049183F" w:rsidP="00FB3B36">
            <w:pPr>
              <w:pStyle w:val="TableParagraph"/>
              <w:ind w:left="52" w:right="-7"/>
              <w:jc w:val="center"/>
              <w:rPr>
                <w:b/>
                <w:sz w:val="20"/>
              </w:rPr>
            </w:pPr>
            <w:hyperlink r:id="rId27" w:history="1">
              <w:r w:rsidR="00C93F57" w:rsidRPr="008D6487">
                <w:rPr>
                  <w:rStyle w:val="Hyperlink"/>
                  <w:b/>
                  <w:sz w:val="20"/>
                </w:rPr>
                <w:t>https://clinicaltrials.gov</w:t>
              </w:r>
            </w:hyperlink>
            <w:r w:rsidR="00C93F57">
              <w:rPr>
                <w:b/>
                <w:sz w:val="20"/>
              </w:rPr>
              <w:t xml:space="preserve"> </w:t>
            </w:r>
          </w:p>
          <w:p w14:paraId="1EB55776" w14:textId="77777777" w:rsidR="00186C57" w:rsidRDefault="00186C57" w:rsidP="00FB3B36">
            <w:pPr>
              <w:pStyle w:val="TableParagraph"/>
              <w:jc w:val="center"/>
              <w:rPr>
                <w:b/>
                <w:sz w:val="20"/>
              </w:rPr>
            </w:pPr>
          </w:p>
        </w:tc>
        <w:tc>
          <w:tcPr>
            <w:tcW w:w="3653" w:type="dxa"/>
            <w:vAlign w:val="center"/>
          </w:tcPr>
          <w:p w14:paraId="2DE91C97" w14:textId="77777777" w:rsidR="00186C57" w:rsidRDefault="00E643EA">
            <w:pPr>
              <w:pStyle w:val="TableParagraph"/>
              <w:spacing w:before="65" w:line="249" w:lineRule="auto"/>
              <w:ind w:left="109" w:right="101"/>
              <w:jc w:val="center"/>
              <w:rPr>
                <w:b/>
                <w:sz w:val="31"/>
              </w:rPr>
            </w:pPr>
            <w:r>
              <w:rPr>
                <w:b/>
                <w:sz w:val="31"/>
              </w:rPr>
              <w:t>287,000</w:t>
            </w:r>
            <w:r w:rsidR="00936A1D">
              <w:rPr>
                <w:b/>
                <w:sz w:val="31"/>
              </w:rPr>
              <w:t xml:space="preserve"> clinical studies in all 50 states and </w:t>
            </w:r>
            <w:r w:rsidR="005552FF">
              <w:rPr>
                <w:b/>
                <w:sz w:val="31"/>
              </w:rPr>
              <w:t>in 20</w:t>
            </w:r>
            <w:r w:rsidR="0066747A">
              <w:rPr>
                <w:b/>
                <w:sz w:val="31"/>
              </w:rPr>
              <w:t>8</w:t>
            </w:r>
            <w:r w:rsidR="005552FF">
              <w:rPr>
                <w:b/>
                <w:sz w:val="31"/>
              </w:rPr>
              <w:t xml:space="preserve"> countries</w:t>
            </w:r>
          </w:p>
        </w:tc>
        <w:tc>
          <w:tcPr>
            <w:tcW w:w="4147" w:type="dxa"/>
            <w:vAlign w:val="center"/>
          </w:tcPr>
          <w:p w14:paraId="62FA94B6" w14:textId="77777777" w:rsidR="00186C57" w:rsidRDefault="00936A1D" w:rsidP="0014665B">
            <w:pPr>
              <w:pStyle w:val="TableParagraph"/>
              <w:numPr>
                <w:ilvl w:val="0"/>
                <w:numId w:val="5"/>
              </w:numPr>
              <w:tabs>
                <w:tab w:val="left" w:pos="384"/>
              </w:tabs>
              <w:spacing w:line="252" w:lineRule="auto"/>
              <w:ind w:right="491"/>
              <w:rPr>
                <w:sz w:val="19"/>
              </w:rPr>
            </w:pPr>
            <w:r>
              <w:rPr>
                <w:w w:val="105"/>
                <w:sz w:val="19"/>
              </w:rPr>
              <w:t>World′s largest clinical trial registry and results</w:t>
            </w:r>
            <w:r>
              <w:rPr>
                <w:spacing w:val="-6"/>
                <w:w w:val="105"/>
                <w:sz w:val="19"/>
              </w:rPr>
              <w:t xml:space="preserve"> </w:t>
            </w:r>
            <w:r>
              <w:rPr>
                <w:w w:val="105"/>
                <w:sz w:val="19"/>
              </w:rPr>
              <w:t>database</w:t>
            </w:r>
          </w:p>
          <w:p w14:paraId="4227EB60" w14:textId="77777777" w:rsidR="00186C57" w:rsidRDefault="00936A1D">
            <w:pPr>
              <w:pStyle w:val="TableParagraph"/>
              <w:numPr>
                <w:ilvl w:val="0"/>
                <w:numId w:val="5"/>
              </w:numPr>
              <w:tabs>
                <w:tab w:val="left" w:pos="384"/>
              </w:tabs>
              <w:spacing w:before="45"/>
              <w:rPr>
                <w:sz w:val="19"/>
              </w:rPr>
            </w:pPr>
            <w:r>
              <w:rPr>
                <w:w w:val="105"/>
                <w:sz w:val="19"/>
              </w:rPr>
              <w:t xml:space="preserve">Results </w:t>
            </w:r>
            <w:r w:rsidR="00B61851">
              <w:rPr>
                <w:w w:val="105"/>
                <w:sz w:val="19"/>
              </w:rPr>
              <w:t xml:space="preserve">posted for </w:t>
            </w:r>
            <w:r w:rsidR="00E643EA">
              <w:rPr>
                <w:w w:val="105"/>
                <w:sz w:val="19"/>
              </w:rPr>
              <w:t>more than</w:t>
            </w:r>
            <w:r w:rsidRPr="00B61851">
              <w:rPr>
                <w:w w:val="105"/>
                <w:sz w:val="19"/>
              </w:rPr>
              <w:t xml:space="preserve"> </w:t>
            </w:r>
            <w:r w:rsidR="0066747A">
              <w:rPr>
                <w:w w:val="105"/>
                <w:sz w:val="19"/>
              </w:rPr>
              <w:t>3</w:t>
            </w:r>
            <w:r w:rsidR="00E643EA">
              <w:rPr>
                <w:w w:val="105"/>
                <w:sz w:val="19"/>
              </w:rPr>
              <w:t>3</w:t>
            </w:r>
            <w:r w:rsidR="0066747A">
              <w:rPr>
                <w:w w:val="105"/>
                <w:sz w:val="19"/>
              </w:rPr>
              <w:t>,000</w:t>
            </w:r>
            <w:r>
              <w:rPr>
                <w:spacing w:val="-10"/>
                <w:w w:val="105"/>
                <w:sz w:val="19"/>
              </w:rPr>
              <w:t xml:space="preserve"> </w:t>
            </w:r>
            <w:r>
              <w:rPr>
                <w:w w:val="105"/>
                <w:sz w:val="19"/>
              </w:rPr>
              <w:t>studies</w:t>
            </w:r>
          </w:p>
          <w:p w14:paraId="107D92E0" w14:textId="77777777" w:rsidR="00AB01C1" w:rsidRPr="00000612" w:rsidRDefault="00936A1D" w:rsidP="00000612">
            <w:pPr>
              <w:pStyle w:val="TableParagraph"/>
              <w:numPr>
                <w:ilvl w:val="0"/>
                <w:numId w:val="5"/>
              </w:numPr>
              <w:tabs>
                <w:tab w:val="left" w:pos="384"/>
              </w:tabs>
              <w:spacing w:before="60"/>
              <w:rPr>
                <w:sz w:val="19"/>
              </w:rPr>
            </w:pPr>
            <w:r>
              <w:rPr>
                <w:w w:val="105"/>
                <w:sz w:val="19"/>
              </w:rPr>
              <w:t xml:space="preserve">More than </w:t>
            </w:r>
            <w:r w:rsidR="0066747A">
              <w:rPr>
                <w:w w:val="105"/>
                <w:sz w:val="19"/>
              </w:rPr>
              <w:t>116</w:t>
            </w:r>
            <w:r w:rsidRPr="00B61851">
              <w:rPr>
                <w:w w:val="105"/>
                <w:sz w:val="19"/>
              </w:rPr>
              <w:t>,000</w:t>
            </w:r>
            <w:r>
              <w:rPr>
                <w:w w:val="105"/>
                <w:sz w:val="19"/>
              </w:rPr>
              <w:t xml:space="preserve"> different users each</w:t>
            </w:r>
            <w:r>
              <w:rPr>
                <w:spacing w:val="-13"/>
                <w:w w:val="105"/>
                <w:sz w:val="19"/>
              </w:rPr>
              <w:t xml:space="preserve"> </w:t>
            </w:r>
            <w:r>
              <w:rPr>
                <w:w w:val="105"/>
                <w:sz w:val="19"/>
              </w:rPr>
              <w:t>day</w:t>
            </w:r>
          </w:p>
        </w:tc>
      </w:tr>
      <w:tr w:rsidR="00E06474" w14:paraId="31AB2EAC" w14:textId="77777777" w:rsidTr="0014665B">
        <w:trPr>
          <w:trHeight w:hRule="exact" w:val="1730"/>
        </w:trPr>
        <w:tc>
          <w:tcPr>
            <w:tcW w:w="3144" w:type="dxa"/>
            <w:vAlign w:val="center"/>
          </w:tcPr>
          <w:p w14:paraId="3986DB3D" w14:textId="77777777" w:rsidR="009B2768" w:rsidRDefault="00E06474" w:rsidP="00FB3B36">
            <w:pPr>
              <w:pStyle w:val="TableParagraph"/>
              <w:jc w:val="center"/>
              <w:rPr>
                <w:sz w:val="20"/>
              </w:rPr>
            </w:pPr>
            <w:r>
              <w:rPr>
                <w:noProof/>
              </w:rPr>
              <w:drawing>
                <wp:inline distT="0" distB="0" distL="0" distR="0" wp14:anchorId="02793E17" wp14:editId="5E741039">
                  <wp:extent cx="1689811" cy="721245"/>
                  <wp:effectExtent l="0" t="0" r="5715" b="3175"/>
                  <wp:docPr id="27" name="Picture 18">
                    <a:extLst xmlns:a="http://schemas.openxmlformats.org/drawingml/2006/main">
                      <a:ext uri="{FF2B5EF4-FFF2-40B4-BE49-F238E27FC236}">
                        <a16:creationId xmlns:a16="http://schemas.microsoft.com/office/drawing/2014/main" id="{6F500048-4EE5-4561-89C4-392E3F9AB5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8">
                            <a:extLst>
                              <a:ext uri="{FF2B5EF4-FFF2-40B4-BE49-F238E27FC236}">
                                <a16:creationId xmlns:a16="http://schemas.microsoft.com/office/drawing/2014/main" id="{6F500048-4EE5-4561-89C4-392E3F9AB55C}"/>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7637" cy="767267"/>
                          </a:xfrm>
                          <a:prstGeom prst="rect">
                            <a:avLst/>
                          </a:prstGeom>
                          <a:noFill/>
                          <a:ln>
                            <a:noFill/>
                          </a:ln>
                        </pic:spPr>
                      </pic:pic>
                    </a:graphicData>
                  </a:graphic>
                </wp:inline>
              </w:drawing>
            </w:r>
          </w:p>
          <w:p w14:paraId="5355216F" w14:textId="77777777" w:rsidR="009B2768" w:rsidRDefault="009B2768" w:rsidP="00FB3B36">
            <w:pPr>
              <w:pStyle w:val="TableParagraph"/>
              <w:jc w:val="center"/>
              <w:rPr>
                <w:sz w:val="20"/>
              </w:rPr>
            </w:pPr>
          </w:p>
          <w:p w14:paraId="707E1B75" w14:textId="6DC90E09" w:rsidR="00E06474" w:rsidRPr="009B2768" w:rsidRDefault="0049183F" w:rsidP="00FB3B36">
            <w:pPr>
              <w:pStyle w:val="TableParagraph"/>
              <w:jc w:val="center"/>
              <w:rPr>
                <w:b/>
                <w:sz w:val="20"/>
              </w:rPr>
            </w:pPr>
            <w:hyperlink r:id="rId29" w:history="1">
              <w:r w:rsidR="00C93F57" w:rsidRPr="008D6487">
                <w:rPr>
                  <w:rStyle w:val="Hyperlink"/>
                  <w:b/>
                  <w:sz w:val="20"/>
                </w:rPr>
                <w:t>https://www.ncbi.nlm.nih.gov/gap</w:t>
              </w:r>
            </w:hyperlink>
            <w:r w:rsidR="00C93F57">
              <w:rPr>
                <w:b/>
                <w:sz w:val="20"/>
              </w:rPr>
              <w:t xml:space="preserve"> </w:t>
            </w:r>
          </w:p>
        </w:tc>
        <w:tc>
          <w:tcPr>
            <w:tcW w:w="3653" w:type="dxa"/>
            <w:vAlign w:val="center"/>
          </w:tcPr>
          <w:p w14:paraId="30F04640" w14:textId="77777777" w:rsidR="00E06474" w:rsidRDefault="00000612">
            <w:pPr>
              <w:pStyle w:val="TableParagraph"/>
              <w:spacing w:before="65" w:line="249" w:lineRule="auto"/>
              <w:ind w:left="109" w:right="101"/>
              <w:jc w:val="center"/>
              <w:rPr>
                <w:b/>
                <w:sz w:val="31"/>
              </w:rPr>
            </w:pPr>
            <w:r w:rsidRPr="00000612">
              <w:rPr>
                <w:b/>
                <w:sz w:val="31"/>
              </w:rPr>
              <w:t>More than 1,100 studies involving more than 2 million people</w:t>
            </w:r>
            <w:r w:rsidRPr="00E06474">
              <w:rPr>
                <w:w w:val="105"/>
                <w:sz w:val="19"/>
              </w:rPr>
              <w:t xml:space="preserve">  </w:t>
            </w:r>
          </w:p>
        </w:tc>
        <w:tc>
          <w:tcPr>
            <w:tcW w:w="4147" w:type="dxa"/>
            <w:vAlign w:val="center"/>
          </w:tcPr>
          <w:p w14:paraId="0CC3CAB6" w14:textId="77777777" w:rsidR="00000612" w:rsidRDefault="00000612" w:rsidP="0014665B">
            <w:pPr>
              <w:pStyle w:val="TableParagraph"/>
              <w:numPr>
                <w:ilvl w:val="0"/>
                <w:numId w:val="5"/>
              </w:numPr>
              <w:tabs>
                <w:tab w:val="left" w:pos="384"/>
              </w:tabs>
              <w:spacing w:line="252" w:lineRule="auto"/>
              <w:ind w:right="491"/>
              <w:rPr>
                <w:w w:val="105"/>
                <w:sz w:val="19"/>
              </w:rPr>
            </w:pPr>
            <w:r>
              <w:rPr>
                <w:w w:val="105"/>
                <w:sz w:val="19"/>
              </w:rPr>
              <w:t>C</w:t>
            </w:r>
            <w:r w:rsidR="00E06474" w:rsidRPr="00E06474">
              <w:rPr>
                <w:w w:val="105"/>
                <w:sz w:val="19"/>
              </w:rPr>
              <w:t xml:space="preserve">onnects genomic data with </w:t>
            </w:r>
            <w:r w:rsidR="005530D2">
              <w:rPr>
                <w:w w:val="105"/>
                <w:sz w:val="19"/>
              </w:rPr>
              <w:t xml:space="preserve">physical </w:t>
            </w:r>
            <w:r w:rsidR="0028081B">
              <w:rPr>
                <w:w w:val="105"/>
                <w:sz w:val="19"/>
              </w:rPr>
              <w:t xml:space="preserve">characteristic and </w:t>
            </w:r>
            <w:r w:rsidR="00E06474" w:rsidRPr="00E06474">
              <w:rPr>
                <w:w w:val="105"/>
                <w:sz w:val="19"/>
              </w:rPr>
              <w:t>clinical information</w:t>
            </w:r>
          </w:p>
          <w:p w14:paraId="4E446A34" w14:textId="77777777" w:rsidR="00E06474" w:rsidRDefault="00000612">
            <w:pPr>
              <w:pStyle w:val="TableParagraph"/>
              <w:numPr>
                <w:ilvl w:val="0"/>
                <w:numId w:val="5"/>
              </w:numPr>
              <w:tabs>
                <w:tab w:val="left" w:pos="384"/>
              </w:tabs>
              <w:spacing w:before="87" w:line="252" w:lineRule="auto"/>
              <w:ind w:right="491"/>
              <w:rPr>
                <w:w w:val="105"/>
                <w:sz w:val="19"/>
              </w:rPr>
            </w:pPr>
            <w:r>
              <w:rPr>
                <w:w w:val="105"/>
                <w:sz w:val="19"/>
              </w:rPr>
              <w:t>Provides</w:t>
            </w:r>
            <w:r w:rsidR="00E06474" w:rsidRPr="00E06474">
              <w:rPr>
                <w:w w:val="105"/>
                <w:sz w:val="19"/>
              </w:rPr>
              <w:t xml:space="preserve"> access to summary-level genomic results from most NIH-supported genomic studies.  </w:t>
            </w:r>
          </w:p>
        </w:tc>
      </w:tr>
      <w:tr w:rsidR="00186C57" w14:paraId="22EBA999" w14:textId="77777777" w:rsidTr="009B2768">
        <w:trPr>
          <w:trHeight w:hRule="exact" w:val="1896"/>
        </w:trPr>
        <w:tc>
          <w:tcPr>
            <w:tcW w:w="3144" w:type="dxa"/>
            <w:vAlign w:val="center"/>
          </w:tcPr>
          <w:p w14:paraId="0F2A57E6" w14:textId="77777777" w:rsidR="00186C57" w:rsidRDefault="00186C57" w:rsidP="00FB3B36">
            <w:pPr>
              <w:pStyle w:val="TableParagraph"/>
              <w:spacing w:before="5"/>
              <w:jc w:val="center"/>
              <w:rPr>
                <w:b/>
                <w:sz w:val="6"/>
              </w:rPr>
            </w:pPr>
          </w:p>
          <w:p w14:paraId="68B544C3" w14:textId="77777777" w:rsidR="00186C57" w:rsidRDefault="00936A1D" w:rsidP="00FB3B36">
            <w:pPr>
              <w:pStyle w:val="TableParagraph"/>
              <w:ind w:left="52" w:right="-7"/>
              <w:jc w:val="center"/>
              <w:rPr>
                <w:sz w:val="20"/>
              </w:rPr>
            </w:pPr>
            <w:r>
              <w:rPr>
                <w:noProof/>
                <w:sz w:val="20"/>
              </w:rPr>
              <w:drawing>
                <wp:inline distT="0" distB="0" distL="0" distR="0" wp14:anchorId="0C93CFA4" wp14:editId="1D91849E">
                  <wp:extent cx="1712068" cy="747602"/>
                  <wp:effectExtent l="0" t="0" r="2540" b="0"/>
                  <wp:docPr id="13" name="image7.jpe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1" cstate="print"/>
                          <a:stretch>
                            <a:fillRect/>
                          </a:stretch>
                        </pic:blipFill>
                        <pic:spPr>
                          <a:xfrm>
                            <a:off x="0" y="0"/>
                            <a:ext cx="1719096" cy="750671"/>
                          </a:xfrm>
                          <a:prstGeom prst="rect">
                            <a:avLst/>
                          </a:prstGeom>
                        </pic:spPr>
                      </pic:pic>
                    </a:graphicData>
                  </a:graphic>
                </wp:inline>
              </w:drawing>
            </w:r>
          </w:p>
          <w:p w14:paraId="7EDB24C8" w14:textId="77777777" w:rsidR="009B2768" w:rsidRDefault="009B2768" w:rsidP="00FB3B36">
            <w:pPr>
              <w:pStyle w:val="TableParagraph"/>
              <w:ind w:left="52" w:right="-7"/>
              <w:jc w:val="center"/>
              <w:rPr>
                <w:sz w:val="20"/>
              </w:rPr>
            </w:pPr>
          </w:p>
          <w:p w14:paraId="667ADD1B" w14:textId="5B1A40E5" w:rsidR="009B2768" w:rsidRPr="009B2768" w:rsidRDefault="0049183F" w:rsidP="00FB3B36">
            <w:pPr>
              <w:pStyle w:val="TableParagraph"/>
              <w:ind w:left="52" w:right="-7"/>
              <w:jc w:val="center"/>
              <w:rPr>
                <w:b/>
                <w:sz w:val="20"/>
              </w:rPr>
            </w:pPr>
            <w:hyperlink r:id="rId32" w:history="1">
              <w:r w:rsidR="00C93F57" w:rsidRPr="008D6487">
                <w:rPr>
                  <w:rStyle w:val="Hyperlink"/>
                  <w:b/>
                  <w:sz w:val="20"/>
                </w:rPr>
                <w:t>https://ghr.nlm.nih.gov</w:t>
              </w:r>
            </w:hyperlink>
            <w:r w:rsidR="00C93F57">
              <w:rPr>
                <w:b/>
                <w:sz w:val="20"/>
              </w:rPr>
              <w:t xml:space="preserve"> </w:t>
            </w:r>
          </w:p>
        </w:tc>
        <w:tc>
          <w:tcPr>
            <w:tcW w:w="3653" w:type="dxa"/>
            <w:vAlign w:val="center"/>
          </w:tcPr>
          <w:p w14:paraId="12814AC0" w14:textId="77777777" w:rsidR="00186C57" w:rsidRDefault="00A52054" w:rsidP="0014665B">
            <w:pPr>
              <w:pStyle w:val="TableParagraph"/>
              <w:spacing w:before="65" w:line="249" w:lineRule="auto"/>
              <w:ind w:left="109" w:right="101"/>
              <w:jc w:val="center"/>
              <w:rPr>
                <w:b/>
                <w:sz w:val="31"/>
              </w:rPr>
            </w:pPr>
            <w:r>
              <w:rPr>
                <w:b/>
                <w:sz w:val="31"/>
              </w:rPr>
              <w:t>1.9</w:t>
            </w:r>
            <w:r w:rsidR="00936A1D" w:rsidRPr="00127206">
              <w:rPr>
                <w:b/>
                <w:sz w:val="31"/>
              </w:rPr>
              <w:t xml:space="preserve"> million</w:t>
            </w:r>
            <w:r w:rsidR="00936A1D">
              <w:rPr>
                <w:b/>
                <w:sz w:val="31"/>
              </w:rPr>
              <w:t xml:space="preserve"> visitors per</w:t>
            </w:r>
            <w:r w:rsidR="00597B7E">
              <w:rPr>
                <w:b/>
                <w:sz w:val="31"/>
              </w:rPr>
              <w:t xml:space="preserve"> </w:t>
            </w:r>
            <w:r w:rsidR="00936A1D">
              <w:rPr>
                <w:b/>
                <w:sz w:val="31"/>
              </w:rPr>
              <w:t>month</w:t>
            </w:r>
          </w:p>
        </w:tc>
        <w:tc>
          <w:tcPr>
            <w:tcW w:w="4147" w:type="dxa"/>
            <w:vAlign w:val="center"/>
          </w:tcPr>
          <w:p w14:paraId="051D577C" w14:textId="77777777" w:rsidR="00186C57" w:rsidRDefault="00936A1D">
            <w:pPr>
              <w:pStyle w:val="TableParagraph"/>
              <w:numPr>
                <w:ilvl w:val="0"/>
                <w:numId w:val="4"/>
              </w:numPr>
              <w:tabs>
                <w:tab w:val="left" w:pos="384"/>
              </w:tabs>
              <w:rPr>
                <w:sz w:val="19"/>
              </w:rPr>
            </w:pPr>
            <w:r>
              <w:rPr>
                <w:w w:val="105"/>
                <w:sz w:val="19"/>
              </w:rPr>
              <w:t>Consumer-friendly health</w:t>
            </w:r>
            <w:r>
              <w:rPr>
                <w:spacing w:val="-12"/>
                <w:w w:val="105"/>
                <w:sz w:val="19"/>
              </w:rPr>
              <w:t xml:space="preserve"> </w:t>
            </w:r>
            <w:r>
              <w:rPr>
                <w:w w:val="105"/>
                <w:sz w:val="19"/>
              </w:rPr>
              <w:t>information</w:t>
            </w:r>
          </w:p>
          <w:p w14:paraId="51B1D835" w14:textId="77777777" w:rsidR="00186C57" w:rsidRDefault="00936A1D">
            <w:pPr>
              <w:pStyle w:val="TableParagraph"/>
              <w:numPr>
                <w:ilvl w:val="0"/>
                <w:numId w:val="4"/>
              </w:numPr>
              <w:tabs>
                <w:tab w:val="left" w:pos="384"/>
              </w:tabs>
              <w:spacing w:before="60"/>
              <w:rPr>
                <w:sz w:val="19"/>
              </w:rPr>
            </w:pPr>
            <w:r>
              <w:rPr>
                <w:w w:val="105"/>
                <w:sz w:val="19"/>
              </w:rPr>
              <w:t>Basics of human</w:t>
            </w:r>
            <w:r>
              <w:rPr>
                <w:spacing w:val="-5"/>
                <w:w w:val="105"/>
                <w:sz w:val="19"/>
              </w:rPr>
              <w:t xml:space="preserve"> </w:t>
            </w:r>
            <w:r>
              <w:rPr>
                <w:w w:val="105"/>
                <w:sz w:val="19"/>
              </w:rPr>
              <w:t>genetics</w:t>
            </w:r>
          </w:p>
          <w:p w14:paraId="2EC050E2" w14:textId="77777777" w:rsidR="00186C57" w:rsidRDefault="00936A1D">
            <w:pPr>
              <w:pStyle w:val="TableParagraph"/>
              <w:numPr>
                <w:ilvl w:val="0"/>
                <w:numId w:val="4"/>
              </w:numPr>
              <w:tabs>
                <w:tab w:val="left" w:pos="384"/>
              </w:tabs>
              <w:spacing w:before="55" w:line="256" w:lineRule="auto"/>
              <w:ind w:right="529"/>
              <w:rPr>
                <w:sz w:val="19"/>
              </w:rPr>
            </w:pPr>
            <w:r>
              <w:rPr>
                <w:w w:val="105"/>
                <w:sz w:val="19"/>
              </w:rPr>
              <w:t xml:space="preserve">Information on more </w:t>
            </w:r>
            <w:r w:rsidRPr="00127206">
              <w:rPr>
                <w:w w:val="105"/>
                <w:sz w:val="19"/>
              </w:rPr>
              <w:t>than 1,</w:t>
            </w:r>
            <w:r w:rsidR="00EA7D4E" w:rsidRPr="00FB3B36">
              <w:rPr>
                <w:w w:val="105"/>
                <w:sz w:val="19"/>
              </w:rPr>
              <w:t>2</w:t>
            </w:r>
            <w:r w:rsidRPr="00127206">
              <w:rPr>
                <w:w w:val="105"/>
                <w:sz w:val="19"/>
              </w:rPr>
              <w:t>00 genetic conditions and 1,</w:t>
            </w:r>
            <w:r w:rsidR="00EA7D4E" w:rsidRPr="00FB3B36">
              <w:rPr>
                <w:w w:val="105"/>
                <w:sz w:val="19"/>
              </w:rPr>
              <w:t>4</w:t>
            </w:r>
            <w:r w:rsidRPr="00127206">
              <w:rPr>
                <w:w w:val="105"/>
                <w:sz w:val="19"/>
              </w:rPr>
              <w:t>00</w:t>
            </w:r>
            <w:r w:rsidRPr="00127206">
              <w:rPr>
                <w:spacing w:val="-8"/>
                <w:w w:val="105"/>
                <w:sz w:val="19"/>
              </w:rPr>
              <w:t xml:space="preserve"> </w:t>
            </w:r>
            <w:r w:rsidRPr="00127206">
              <w:rPr>
                <w:w w:val="105"/>
                <w:sz w:val="19"/>
              </w:rPr>
              <w:t>genes</w:t>
            </w:r>
          </w:p>
        </w:tc>
      </w:tr>
    </w:tbl>
    <w:p w14:paraId="45D60E99" w14:textId="45BB8139" w:rsidR="00186C57" w:rsidRDefault="00186C57" w:rsidP="0014665B">
      <w:pPr>
        <w:pStyle w:val="BodyText"/>
        <w:spacing w:before="5"/>
        <w:ind w:left="720"/>
        <w:rPr>
          <w:b/>
          <w:sz w:val="19"/>
        </w:rPr>
      </w:pPr>
    </w:p>
    <w:p w14:paraId="3FFAF061" w14:textId="77777777" w:rsidR="00A77161" w:rsidRDefault="00A77161">
      <w:pPr>
        <w:pStyle w:val="BodyText"/>
        <w:spacing w:line="252" w:lineRule="auto"/>
        <w:ind w:left="720" w:right="143"/>
        <w:rPr>
          <w:b/>
          <w:i/>
          <w:w w:val="105"/>
        </w:rPr>
      </w:pPr>
    </w:p>
    <w:p w14:paraId="18E48931" w14:textId="77777777" w:rsidR="00B20A59" w:rsidRDefault="00B20A59" w:rsidP="0014665B">
      <w:pPr>
        <w:pStyle w:val="BodyText"/>
        <w:spacing w:line="252" w:lineRule="auto"/>
        <w:ind w:left="720" w:right="143"/>
        <w:rPr>
          <w:i/>
        </w:rPr>
      </w:pPr>
      <w:r>
        <w:rPr>
          <w:b/>
          <w:i/>
          <w:w w:val="105"/>
        </w:rPr>
        <w:t xml:space="preserve">The Medical Library Association (MLA) </w:t>
      </w:r>
      <w:r>
        <w:rPr>
          <w:i/>
          <w:w w:val="105"/>
        </w:rPr>
        <w:t>is a nonprofit, educational organization with 3,500 health sciences information professional members worldwide. Founded in 1898, MLA provides lifelong educational opportunities, supports a knowledgebase of health information research, and works with a global network of partners to promote the importance of quality information for improved health to the health care community and the public.</w:t>
      </w:r>
    </w:p>
    <w:p w14:paraId="126FC903" w14:textId="77777777" w:rsidR="00B20A59" w:rsidRDefault="00B20A59" w:rsidP="0014665B">
      <w:pPr>
        <w:pStyle w:val="BodyText"/>
        <w:spacing w:before="7"/>
        <w:ind w:left="720"/>
        <w:rPr>
          <w:i/>
          <w:sz w:val="12"/>
        </w:rPr>
      </w:pPr>
    </w:p>
    <w:p w14:paraId="657F3202" w14:textId="77777777" w:rsidR="00186C57" w:rsidRDefault="00B20A59" w:rsidP="0014665B">
      <w:pPr>
        <w:pStyle w:val="BodyText"/>
        <w:spacing w:before="66" w:line="252" w:lineRule="auto"/>
        <w:ind w:left="720" w:right="279"/>
      </w:pPr>
      <w:r>
        <w:rPr>
          <w:b/>
          <w:i/>
          <w:w w:val="105"/>
        </w:rPr>
        <w:t xml:space="preserve">The Association of Academic Health Sciences Libraries (AAHSL) </w:t>
      </w:r>
      <w:r>
        <w:rPr>
          <w:i/>
          <w:w w:val="105"/>
        </w:rPr>
        <w:t>supports academic health sciences libraries and directors in advancing the patient care, research, education, and community service missions of academic health centers through visionary executive leadership and expertise in health information, scholarly communication, and knowledge management.</w:t>
      </w:r>
    </w:p>
    <w:sectPr w:rsidR="00186C57" w:rsidSect="00B9779B">
      <w:headerReference w:type="default" r:id="rId33"/>
      <w:pgSz w:w="12240" w:h="15840"/>
      <w:pgMar w:top="1296" w:right="475" w:bottom="274" w:left="5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DD7C9" w14:textId="77777777" w:rsidR="00BB696F" w:rsidRDefault="00BB696F" w:rsidP="00C93F57">
      <w:r>
        <w:separator/>
      </w:r>
    </w:p>
  </w:endnote>
  <w:endnote w:type="continuationSeparator" w:id="0">
    <w:p w14:paraId="4BF41B54" w14:textId="77777777" w:rsidR="00BB696F" w:rsidRDefault="00BB696F" w:rsidP="00C9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BB81" w14:textId="77777777" w:rsidR="00BB696F" w:rsidRDefault="00BB696F" w:rsidP="00C93F57">
      <w:r>
        <w:separator/>
      </w:r>
    </w:p>
  </w:footnote>
  <w:footnote w:type="continuationSeparator" w:id="0">
    <w:p w14:paraId="71530C72" w14:textId="77777777" w:rsidR="00BB696F" w:rsidRDefault="00BB696F" w:rsidP="00C9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C925" w14:textId="5CDBD791" w:rsidR="00C93F57" w:rsidRDefault="00C93F57" w:rsidP="00C93F57">
    <w:pPr>
      <w:pStyle w:val="Header"/>
    </w:pPr>
    <w:r>
      <w:rPr>
        <w:noProof/>
        <w:sz w:val="20"/>
      </w:rPr>
      <w:drawing>
        <wp:anchor distT="0" distB="0" distL="114300" distR="114300" simplePos="0" relativeHeight="251658240" behindDoc="0" locked="0" layoutInCell="1" allowOverlap="1" wp14:anchorId="721540BA" wp14:editId="3A8A93DA">
          <wp:simplePos x="0" y="0"/>
          <wp:positionH relativeFrom="column">
            <wp:posOffset>4879975</wp:posOffset>
          </wp:positionH>
          <wp:positionV relativeFrom="paragraph">
            <wp:posOffset>-208280</wp:posOffset>
          </wp:positionV>
          <wp:extent cx="2025015" cy="395605"/>
          <wp:effectExtent l="0" t="0" r="0" b="444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5015" cy="395605"/>
                  </a:xfrm>
                  <a:prstGeom prst="rect">
                    <a:avLst/>
                  </a:prstGeom>
                </pic:spPr>
              </pic:pic>
            </a:graphicData>
          </a:graphic>
          <wp14:sizeRelH relativeFrom="page">
            <wp14:pctWidth>0</wp14:pctWidth>
          </wp14:sizeRelH>
          <wp14:sizeRelV relativeFrom="page">
            <wp14:pctHeight>0</wp14:pctHeight>
          </wp14:sizeRelV>
        </wp:anchor>
      </w:drawing>
    </w:r>
    <w:r>
      <w:rPr>
        <w:noProof/>
        <w:position w:val="1"/>
        <w:sz w:val="20"/>
      </w:rPr>
      <w:drawing>
        <wp:anchor distT="0" distB="0" distL="114300" distR="114300" simplePos="0" relativeHeight="251659264" behindDoc="0" locked="0" layoutInCell="1" allowOverlap="1" wp14:anchorId="16F632AF" wp14:editId="68E985AC">
          <wp:simplePos x="0" y="0"/>
          <wp:positionH relativeFrom="column">
            <wp:posOffset>193675</wp:posOffset>
          </wp:positionH>
          <wp:positionV relativeFrom="paragraph">
            <wp:posOffset>-116840</wp:posOffset>
          </wp:positionV>
          <wp:extent cx="2006600" cy="2755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6600" cy="275590"/>
                  </a:xfrm>
                  <a:prstGeom prst="rect">
                    <a:avLst/>
                  </a:prstGeom>
                </pic:spPr>
              </pic:pic>
            </a:graphicData>
          </a:graphic>
          <wp14:sizeRelH relativeFrom="page">
            <wp14:pctWidth>0</wp14:pctWidth>
          </wp14:sizeRelH>
          <wp14:sizeRelV relativeFrom="page">
            <wp14:pctHeight>0</wp14:pctHeight>
          </wp14:sizeRelV>
        </wp:anchor>
      </w:drawing>
    </w:r>
  </w:p>
  <w:p w14:paraId="23ABF33E" w14:textId="06850EAB" w:rsidR="00C93F57" w:rsidRDefault="00C93F57" w:rsidP="00C93F57">
    <w:pPr>
      <w:pStyle w:val="Header"/>
    </w:pPr>
  </w:p>
  <w:p w14:paraId="0A6171B9" w14:textId="074F6CBB" w:rsidR="00C93F57" w:rsidRPr="00C93F57" w:rsidRDefault="00C93F57" w:rsidP="00C9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15C"/>
    <w:multiLevelType w:val="hybridMultilevel"/>
    <w:tmpl w:val="4DE48D1C"/>
    <w:lvl w:ilvl="0" w:tplc="1666B55C">
      <w:numFmt w:val="bullet"/>
      <w:lvlText w:val=""/>
      <w:lvlJc w:val="left"/>
      <w:pPr>
        <w:ind w:left="383" w:hanging="158"/>
      </w:pPr>
      <w:rPr>
        <w:rFonts w:ascii="Symbol" w:eastAsia="Symbol" w:hAnsi="Symbol" w:cs="Symbol" w:hint="default"/>
        <w:w w:val="103"/>
        <w:sz w:val="19"/>
        <w:szCs w:val="19"/>
      </w:rPr>
    </w:lvl>
    <w:lvl w:ilvl="1" w:tplc="3B661776">
      <w:numFmt w:val="bullet"/>
      <w:lvlText w:val="•"/>
      <w:lvlJc w:val="left"/>
      <w:pPr>
        <w:ind w:left="752" w:hanging="158"/>
      </w:pPr>
      <w:rPr>
        <w:rFonts w:hint="default"/>
      </w:rPr>
    </w:lvl>
    <w:lvl w:ilvl="2" w:tplc="5B263D08">
      <w:numFmt w:val="bullet"/>
      <w:lvlText w:val="•"/>
      <w:lvlJc w:val="left"/>
      <w:pPr>
        <w:ind w:left="1124" w:hanging="158"/>
      </w:pPr>
      <w:rPr>
        <w:rFonts w:hint="default"/>
      </w:rPr>
    </w:lvl>
    <w:lvl w:ilvl="3" w:tplc="EBF6C36C">
      <w:numFmt w:val="bullet"/>
      <w:lvlText w:val="•"/>
      <w:lvlJc w:val="left"/>
      <w:pPr>
        <w:ind w:left="1497" w:hanging="158"/>
      </w:pPr>
      <w:rPr>
        <w:rFonts w:hint="default"/>
      </w:rPr>
    </w:lvl>
    <w:lvl w:ilvl="4" w:tplc="A0929E4E">
      <w:numFmt w:val="bullet"/>
      <w:lvlText w:val="•"/>
      <w:lvlJc w:val="left"/>
      <w:pPr>
        <w:ind w:left="1869" w:hanging="158"/>
      </w:pPr>
      <w:rPr>
        <w:rFonts w:hint="default"/>
      </w:rPr>
    </w:lvl>
    <w:lvl w:ilvl="5" w:tplc="9ADA1C9E">
      <w:numFmt w:val="bullet"/>
      <w:lvlText w:val="•"/>
      <w:lvlJc w:val="left"/>
      <w:pPr>
        <w:ind w:left="2242" w:hanging="158"/>
      </w:pPr>
      <w:rPr>
        <w:rFonts w:hint="default"/>
      </w:rPr>
    </w:lvl>
    <w:lvl w:ilvl="6" w:tplc="1AE4FA78">
      <w:numFmt w:val="bullet"/>
      <w:lvlText w:val="•"/>
      <w:lvlJc w:val="left"/>
      <w:pPr>
        <w:ind w:left="2614" w:hanging="158"/>
      </w:pPr>
      <w:rPr>
        <w:rFonts w:hint="default"/>
      </w:rPr>
    </w:lvl>
    <w:lvl w:ilvl="7" w:tplc="9AFC5114">
      <w:numFmt w:val="bullet"/>
      <w:lvlText w:val="•"/>
      <w:lvlJc w:val="left"/>
      <w:pPr>
        <w:ind w:left="2986" w:hanging="158"/>
      </w:pPr>
      <w:rPr>
        <w:rFonts w:hint="default"/>
      </w:rPr>
    </w:lvl>
    <w:lvl w:ilvl="8" w:tplc="E9DE8BB2">
      <w:numFmt w:val="bullet"/>
      <w:lvlText w:val="•"/>
      <w:lvlJc w:val="left"/>
      <w:pPr>
        <w:ind w:left="3359" w:hanging="158"/>
      </w:pPr>
      <w:rPr>
        <w:rFonts w:hint="default"/>
      </w:rPr>
    </w:lvl>
  </w:abstractNum>
  <w:abstractNum w:abstractNumId="1" w15:restartNumberingAfterBreak="0">
    <w:nsid w:val="07A16BC4"/>
    <w:multiLevelType w:val="hybridMultilevel"/>
    <w:tmpl w:val="3A60E05E"/>
    <w:lvl w:ilvl="0" w:tplc="291A41EC">
      <w:numFmt w:val="bullet"/>
      <w:lvlText w:val=""/>
      <w:lvlJc w:val="left"/>
      <w:pPr>
        <w:ind w:left="383" w:hanging="158"/>
      </w:pPr>
      <w:rPr>
        <w:rFonts w:ascii="Symbol" w:eastAsia="Symbol" w:hAnsi="Symbol" w:cs="Symbol" w:hint="default"/>
        <w:w w:val="103"/>
        <w:sz w:val="19"/>
        <w:szCs w:val="19"/>
      </w:rPr>
    </w:lvl>
    <w:lvl w:ilvl="1" w:tplc="8806F916">
      <w:numFmt w:val="bullet"/>
      <w:lvlText w:val="•"/>
      <w:lvlJc w:val="left"/>
      <w:pPr>
        <w:ind w:left="752" w:hanging="158"/>
      </w:pPr>
      <w:rPr>
        <w:rFonts w:hint="default"/>
      </w:rPr>
    </w:lvl>
    <w:lvl w:ilvl="2" w:tplc="6A5AA146">
      <w:numFmt w:val="bullet"/>
      <w:lvlText w:val="•"/>
      <w:lvlJc w:val="left"/>
      <w:pPr>
        <w:ind w:left="1124" w:hanging="158"/>
      </w:pPr>
      <w:rPr>
        <w:rFonts w:hint="default"/>
      </w:rPr>
    </w:lvl>
    <w:lvl w:ilvl="3" w:tplc="788ACCA0">
      <w:numFmt w:val="bullet"/>
      <w:lvlText w:val="•"/>
      <w:lvlJc w:val="left"/>
      <w:pPr>
        <w:ind w:left="1497" w:hanging="158"/>
      </w:pPr>
      <w:rPr>
        <w:rFonts w:hint="default"/>
      </w:rPr>
    </w:lvl>
    <w:lvl w:ilvl="4" w:tplc="B9F8DA6A">
      <w:numFmt w:val="bullet"/>
      <w:lvlText w:val="•"/>
      <w:lvlJc w:val="left"/>
      <w:pPr>
        <w:ind w:left="1869" w:hanging="158"/>
      </w:pPr>
      <w:rPr>
        <w:rFonts w:hint="default"/>
      </w:rPr>
    </w:lvl>
    <w:lvl w:ilvl="5" w:tplc="8DB25800">
      <w:numFmt w:val="bullet"/>
      <w:lvlText w:val="•"/>
      <w:lvlJc w:val="left"/>
      <w:pPr>
        <w:ind w:left="2242" w:hanging="158"/>
      </w:pPr>
      <w:rPr>
        <w:rFonts w:hint="default"/>
      </w:rPr>
    </w:lvl>
    <w:lvl w:ilvl="6" w:tplc="68867C3C">
      <w:numFmt w:val="bullet"/>
      <w:lvlText w:val="•"/>
      <w:lvlJc w:val="left"/>
      <w:pPr>
        <w:ind w:left="2614" w:hanging="158"/>
      </w:pPr>
      <w:rPr>
        <w:rFonts w:hint="default"/>
      </w:rPr>
    </w:lvl>
    <w:lvl w:ilvl="7" w:tplc="A93266B2">
      <w:numFmt w:val="bullet"/>
      <w:lvlText w:val="•"/>
      <w:lvlJc w:val="left"/>
      <w:pPr>
        <w:ind w:left="2986" w:hanging="158"/>
      </w:pPr>
      <w:rPr>
        <w:rFonts w:hint="default"/>
      </w:rPr>
    </w:lvl>
    <w:lvl w:ilvl="8" w:tplc="2CB0D904">
      <w:numFmt w:val="bullet"/>
      <w:lvlText w:val="•"/>
      <w:lvlJc w:val="left"/>
      <w:pPr>
        <w:ind w:left="3359" w:hanging="158"/>
      </w:pPr>
      <w:rPr>
        <w:rFonts w:hint="default"/>
      </w:rPr>
    </w:lvl>
  </w:abstractNum>
  <w:abstractNum w:abstractNumId="2" w15:restartNumberingAfterBreak="0">
    <w:nsid w:val="15841638"/>
    <w:multiLevelType w:val="hybridMultilevel"/>
    <w:tmpl w:val="13DAF6EC"/>
    <w:lvl w:ilvl="0" w:tplc="6A5A7126">
      <w:numFmt w:val="bullet"/>
      <w:lvlText w:val=""/>
      <w:lvlJc w:val="left"/>
      <w:pPr>
        <w:ind w:left="383" w:hanging="158"/>
      </w:pPr>
      <w:rPr>
        <w:rFonts w:ascii="Symbol" w:eastAsia="Symbol" w:hAnsi="Symbol" w:cs="Symbol" w:hint="default"/>
        <w:w w:val="103"/>
        <w:sz w:val="19"/>
        <w:szCs w:val="19"/>
      </w:rPr>
    </w:lvl>
    <w:lvl w:ilvl="1" w:tplc="32684F4C">
      <w:numFmt w:val="bullet"/>
      <w:lvlText w:val="•"/>
      <w:lvlJc w:val="left"/>
      <w:pPr>
        <w:ind w:left="752" w:hanging="158"/>
      </w:pPr>
      <w:rPr>
        <w:rFonts w:hint="default"/>
      </w:rPr>
    </w:lvl>
    <w:lvl w:ilvl="2" w:tplc="6E900078">
      <w:numFmt w:val="bullet"/>
      <w:lvlText w:val="•"/>
      <w:lvlJc w:val="left"/>
      <w:pPr>
        <w:ind w:left="1124" w:hanging="158"/>
      </w:pPr>
      <w:rPr>
        <w:rFonts w:hint="default"/>
      </w:rPr>
    </w:lvl>
    <w:lvl w:ilvl="3" w:tplc="363C1132">
      <w:numFmt w:val="bullet"/>
      <w:lvlText w:val="•"/>
      <w:lvlJc w:val="left"/>
      <w:pPr>
        <w:ind w:left="1497" w:hanging="158"/>
      </w:pPr>
      <w:rPr>
        <w:rFonts w:hint="default"/>
      </w:rPr>
    </w:lvl>
    <w:lvl w:ilvl="4" w:tplc="1B9EF31C">
      <w:numFmt w:val="bullet"/>
      <w:lvlText w:val="•"/>
      <w:lvlJc w:val="left"/>
      <w:pPr>
        <w:ind w:left="1869" w:hanging="158"/>
      </w:pPr>
      <w:rPr>
        <w:rFonts w:hint="default"/>
      </w:rPr>
    </w:lvl>
    <w:lvl w:ilvl="5" w:tplc="3B4E8D8C">
      <w:numFmt w:val="bullet"/>
      <w:lvlText w:val="•"/>
      <w:lvlJc w:val="left"/>
      <w:pPr>
        <w:ind w:left="2242" w:hanging="158"/>
      </w:pPr>
      <w:rPr>
        <w:rFonts w:hint="default"/>
      </w:rPr>
    </w:lvl>
    <w:lvl w:ilvl="6" w:tplc="DBEC6BC8">
      <w:numFmt w:val="bullet"/>
      <w:lvlText w:val="•"/>
      <w:lvlJc w:val="left"/>
      <w:pPr>
        <w:ind w:left="2614" w:hanging="158"/>
      </w:pPr>
      <w:rPr>
        <w:rFonts w:hint="default"/>
      </w:rPr>
    </w:lvl>
    <w:lvl w:ilvl="7" w:tplc="345C26C4">
      <w:numFmt w:val="bullet"/>
      <w:lvlText w:val="•"/>
      <w:lvlJc w:val="left"/>
      <w:pPr>
        <w:ind w:left="2986" w:hanging="158"/>
      </w:pPr>
      <w:rPr>
        <w:rFonts w:hint="default"/>
      </w:rPr>
    </w:lvl>
    <w:lvl w:ilvl="8" w:tplc="73363A2E">
      <w:numFmt w:val="bullet"/>
      <w:lvlText w:val="•"/>
      <w:lvlJc w:val="left"/>
      <w:pPr>
        <w:ind w:left="3359" w:hanging="158"/>
      </w:pPr>
      <w:rPr>
        <w:rFonts w:hint="default"/>
      </w:rPr>
    </w:lvl>
  </w:abstractNum>
  <w:abstractNum w:abstractNumId="3" w15:restartNumberingAfterBreak="0">
    <w:nsid w:val="4B8D34B1"/>
    <w:multiLevelType w:val="hybridMultilevel"/>
    <w:tmpl w:val="507AB5C8"/>
    <w:lvl w:ilvl="0" w:tplc="31FAD4BA">
      <w:numFmt w:val="bullet"/>
      <w:lvlText w:val=""/>
      <w:lvlJc w:val="left"/>
      <w:pPr>
        <w:ind w:left="383" w:hanging="158"/>
      </w:pPr>
      <w:rPr>
        <w:rFonts w:ascii="Symbol" w:eastAsia="Symbol" w:hAnsi="Symbol" w:cs="Symbol" w:hint="default"/>
        <w:w w:val="103"/>
        <w:sz w:val="19"/>
        <w:szCs w:val="19"/>
      </w:rPr>
    </w:lvl>
    <w:lvl w:ilvl="1" w:tplc="A2840B24">
      <w:numFmt w:val="bullet"/>
      <w:lvlText w:val="•"/>
      <w:lvlJc w:val="left"/>
      <w:pPr>
        <w:ind w:left="752" w:hanging="158"/>
      </w:pPr>
      <w:rPr>
        <w:rFonts w:hint="default"/>
      </w:rPr>
    </w:lvl>
    <w:lvl w:ilvl="2" w:tplc="BB22C0DE">
      <w:numFmt w:val="bullet"/>
      <w:lvlText w:val="•"/>
      <w:lvlJc w:val="left"/>
      <w:pPr>
        <w:ind w:left="1124" w:hanging="158"/>
      </w:pPr>
      <w:rPr>
        <w:rFonts w:hint="default"/>
      </w:rPr>
    </w:lvl>
    <w:lvl w:ilvl="3" w:tplc="B9F6C7BA">
      <w:numFmt w:val="bullet"/>
      <w:lvlText w:val="•"/>
      <w:lvlJc w:val="left"/>
      <w:pPr>
        <w:ind w:left="1497" w:hanging="158"/>
      </w:pPr>
      <w:rPr>
        <w:rFonts w:hint="default"/>
      </w:rPr>
    </w:lvl>
    <w:lvl w:ilvl="4" w:tplc="C9A4260A">
      <w:numFmt w:val="bullet"/>
      <w:lvlText w:val="•"/>
      <w:lvlJc w:val="left"/>
      <w:pPr>
        <w:ind w:left="1869" w:hanging="158"/>
      </w:pPr>
      <w:rPr>
        <w:rFonts w:hint="default"/>
      </w:rPr>
    </w:lvl>
    <w:lvl w:ilvl="5" w:tplc="CAA829D8">
      <w:numFmt w:val="bullet"/>
      <w:lvlText w:val="•"/>
      <w:lvlJc w:val="left"/>
      <w:pPr>
        <w:ind w:left="2242" w:hanging="158"/>
      </w:pPr>
      <w:rPr>
        <w:rFonts w:hint="default"/>
      </w:rPr>
    </w:lvl>
    <w:lvl w:ilvl="6" w:tplc="8DA6C0FA">
      <w:numFmt w:val="bullet"/>
      <w:lvlText w:val="•"/>
      <w:lvlJc w:val="left"/>
      <w:pPr>
        <w:ind w:left="2614" w:hanging="158"/>
      </w:pPr>
      <w:rPr>
        <w:rFonts w:hint="default"/>
      </w:rPr>
    </w:lvl>
    <w:lvl w:ilvl="7" w:tplc="DFFE9E2A">
      <w:numFmt w:val="bullet"/>
      <w:lvlText w:val="•"/>
      <w:lvlJc w:val="left"/>
      <w:pPr>
        <w:ind w:left="2986" w:hanging="158"/>
      </w:pPr>
      <w:rPr>
        <w:rFonts w:hint="default"/>
      </w:rPr>
    </w:lvl>
    <w:lvl w:ilvl="8" w:tplc="5C00BFD0">
      <w:numFmt w:val="bullet"/>
      <w:lvlText w:val="•"/>
      <w:lvlJc w:val="left"/>
      <w:pPr>
        <w:ind w:left="3359" w:hanging="158"/>
      </w:pPr>
      <w:rPr>
        <w:rFonts w:hint="default"/>
      </w:rPr>
    </w:lvl>
  </w:abstractNum>
  <w:abstractNum w:abstractNumId="4" w15:restartNumberingAfterBreak="0">
    <w:nsid w:val="5C043C8D"/>
    <w:multiLevelType w:val="hybridMultilevel"/>
    <w:tmpl w:val="61F42AE2"/>
    <w:lvl w:ilvl="0" w:tplc="71E84ABE">
      <w:numFmt w:val="bullet"/>
      <w:lvlText w:val=""/>
      <w:lvlJc w:val="left"/>
      <w:pPr>
        <w:ind w:left="383" w:hanging="158"/>
      </w:pPr>
      <w:rPr>
        <w:rFonts w:ascii="Symbol" w:eastAsia="Symbol" w:hAnsi="Symbol" w:cs="Symbol" w:hint="default"/>
        <w:w w:val="103"/>
        <w:sz w:val="19"/>
        <w:szCs w:val="19"/>
      </w:rPr>
    </w:lvl>
    <w:lvl w:ilvl="1" w:tplc="DB64240C">
      <w:numFmt w:val="bullet"/>
      <w:lvlText w:val="•"/>
      <w:lvlJc w:val="left"/>
      <w:pPr>
        <w:ind w:left="752" w:hanging="158"/>
      </w:pPr>
      <w:rPr>
        <w:rFonts w:hint="default"/>
      </w:rPr>
    </w:lvl>
    <w:lvl w:ilvl="2" w:tplc="69881342">
      <w:numFmt w:val="bullet"/>
      <w:lvlText w:val="•"/>
      <w:lvlJc w:val="left"/>
      <w:pPr>
        <w:ind w:left="1124" w:hanging="158"/>
      </w:pPr>
      <w:rPr>
        <w:rFonts w:hint="default"/>
      </w:rPr>
    </w:lvl>
    <w:lvl w:ilvl="3" w:tplc="332EFAB4">
      <w:numFmt w:val="bullet"/>
      <w:lvlText w:val="•"/>
      <w:lvlJc w:val="left"/>
      <w:pPr>
        <w:ind w:left="1497" w:hanging="158"/>
      </w:pPr>
      <w:rPr>
        <w:rFonts w:hint="default"/>
      </w:rPr>
    </w:lvl>
    <w:lvl w:ilvl="4" w:tplc="52702BEC">
      <w:numFmt w:val="bullet"/>
      <w:lvlText w:val="•"/>
      <w:lvlJc w:val="left"/>
      <w:pPr>
        <w:ind w:left="1869" w:hanging="158"/>
      </w:pPr>
      <w:rPr>
        <w:rFonts w:hint="default"/>
      </w:rPr>
    </w:lvl>
    <w:lvl w:ilvl="5" w:tplc="4D5AC78C">
      <w:numFmt w:val="bullet"/>
      <w:lvlText w:val="•"/>
      <w:lvlJc w:val="left"/>
      <w:pPr>
        <w:ind w:left="2242" w:hanging="158"/>
      </w:pPr>
      <w:rPr>
        <w:rFonts w:hint="default"/>
      </w:rPr>
    </w:lvl>
    <w:lvl w:ilvl="6" w:tplc="CF3A7A66">
      <w:numFmt w:val="bullet"/>
      <w:lvlText w:val="•"/>
      <w:lvlJc w:val="left"/>
      <w:pPr>
        <w:ind w:left="2614" w:hanging="158"/>
      </w:pPr>
      <w:rPr>
        <w:rFonts w:hint="default"/>
      </w:rPr>
    </w:lvl>
    <w:lvl w:ilvl="7" w:tplc="042EAC04">
      <w:numFmt w:val="bullet"/>
      <w:lvlText w:val="•"/>
      <w:lvlJc w:val="left"/>
      <w:pPr>
        <w:ind w:left="2986" w:hanging="158"/>
      </w:pPr>
      <w:rPr>
        <w:rFonts w:hint="default"/>
      </w:rPr>
    </w:lvl>
    <w:lvl w:ilvl="8" w:tplc="A05C540A">
      <w:numFmt w:val="bullet"/>
      <w:lvlText w:val="•"/>
      <w:lvlJc w:val="left"/>
      <w:pPr>
        <w:ind w:left="3359" w:hanging="158"/>
      </w:pPr>
      <w:rPr>
        <w:rFonts w:hint="default"/>
      </w:rPr>
    </w:lvl>
  </w:abstractNum>
  <w:abstractNum w:abstractNumId="5" w15:restartNumberingAfterBreak="0">
    <w:nsid w:val="6A6E5A17"/>
    <w:multiLevelType w:val="hybridMultilevel"/>
    <w:tmpl w:val="F7646F56"/>
    <w:lvl w:ilvl="0" w:tplc="A06A95F6">
      <w:numFmt w:val="bullet"/>
      <w:lvlText w:val=""/>
      <w:lvlJc w:val="left"/>
      <w:pPr>
        <w:ind w:left="383" w:hanging="158"/>
      </w:pPr>
      <w:rPr>
        <w:rFonts w:ascii="Symbol" w:eastAsia="Symbol" w:hAnsi="Symbol" w:cs="Symbol" w:hint="default"/>
        <w:w w:val="103"/>
        <w:sz w:val="19"/>
        <w:szCs w:val="19"/>
      </w:rPr>
    </w:lvl>
    <w:lvl w:ilvl="1" w:tplc="94ACF2E0">
      <w:numFmt w:val="bullet"/>
      <w:lvlText w:val="•"/>
      <w:lvlJc w:val="left"/>
      <w:pPr>
        <w:ind w:left="752" w:hanging="158"/>
      </w:pPr>
      <w:rPr>
        <w:rFonts w:hint="default"/>
      </w:rPr>
    </w:lvl>
    <w:lvl w:ilvl="2" w:tplc="3D7E95BC">
      <w:numFmt w:val="bullet"/>
      <w:lvlText w:val="•"/>
      <w:lvlJc w:val="left"/>
      <w:pPr>
        <w:ind w:left="1124" w:hanging="158"/>
      </w:pPr>
      <w:rPr>
        <w:rFonts w:hint="default"/>
      </w:rPr>
    </w:lvl>
    <w:lvl w:ilvl="3" w:tplc="F006DEA8">
      <w:numFmt w:val="bullet"/>
      <w:lvlText w:val="•"/>
      <w:lvlJc w:val="left"/>
      <w:pPr>
        <w:ind w:left="1497" w:hanging="158"/>
      </w:pPr>
      <w:rPr>
        <w:rFonts w:hint="default"/>
      </w:rPr>
    </w:lvl>
    <w:lvl w:ilvl="4" w:tplc="65AA89C6">
      <w:numFmt w:val="bullet"/>
      <w:lvlText w:val="•"/>
      <w:lvlJc w:val="left"/>
      <w:pPr>
        <w:ind w:left="1869" w:hanging="158"/>
      </w:pPr>
      <w:rPr>
        <w:rFonts w:hint="default"/>
      </w:rPr>
    </w:lvl>
    <w:lvl w:ilvl="5" w:tplc="E0E2E91A">
      <w:numFmt w:val="bullet"/>
      <w:lvlText w:val="•"/>
      <w:lvlJc w:val="left"/>
      <w:pPr>
        <w:ind w:left="2242" w:hanging="158"/>
      </w:pPr>
      <w:rPr>
        <w:rFonts w:hint="default"/>
      </w:rPr>
    </w:lvl>
    <w:lvl w:ilvl="6" w:tplc="4F746498">
      <w:numFmt w:val="bullet"/>
      <w:lvlText w:val="•"/>
      <w:lvlJc w:val="left"/>
      <w:pPr>
        <w:ind w:left="2614" w:hanging="158"/>
      </w:pPr>
      <w:rPr>
        <w:rFonts w:hint="default"/>
      </w:rPr>
    </w:lvl>
    <w:lvl w:ilvl="7" w:tplc="82265482">
      <w:numFmt w:val="bullet"/>
      <w:lvlText w:val="•"/>
      <w:lvlJc w:val="left"/>
      <w:pPr>
        <w:ind w:left="2986" w:hanging="158"/>
      </w:pPr>
      <w:rPr>
        <w:rFonts w:hint="default"/>
      </w:rPr>
    </w:lvl>
    <w:lvl w:ilvl="8" w:tplc="6590C898">
      <w:numFmt w:val="bullet"/>
      <w:lvlText w:val="•"/>
      <w:lvlJc w:val="left"/>
      <w:pPr>
        <w:ind w:left="3359" w:hanging="158"/>
      </w:pPr>
      <w:rPr>
        <w:rFonts w:hint="default"/>
      </w:rPr>
    </w:lvl>
  </w:abstractNum>
  <w:abstractNum w:abstractNumId="6" w15:restartNumberingAfterBreak="0">
    <w:nsid w:val="6B946C23"/>
    <w:multiLevelType w:val="hybridMultilevel"/>
    <w:tmpl w:val="7C78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596056"/>
    <w:multiLevelType w:val="hybridMultilevel"/>
    <w:tmpl w:val="FDF8C81E"/>
    <w:lvl w:ilvl="0" w:tplc="DBCA866E">
      <w:numFmt w:val="bullet"/>
      <w:lvlText w:val=""/>
      <w:lvlJc w:val="left"/>
      <w:pPr>
        <w:ind w:left="383" w:hanging="158"/>
      </w:pPr>
      <w:rPr>
        <w:rFonts w:ascii="Symbol" w:eastAsia="Symbol" w:hAnsi="Symbol" w:cs="Symbol" w:hint="default"/>
        <w:w w:val="103"/>
        <w:sz w:val="19"/>
        <w:szCs w:val="19"/>
      </w:rPr>
    </w:lvl>
    <w:lvl w:ilvl="1" w:tplc="B8063506">
      <w:numFmt w:val="bullet"/>
      <w:lvlText w:val="•"/>
      <w:lvlJc w:val="left"/>
      <w:pPr>
        <w:ind w:left="752" w:hanging="158"/>
      </w:pPr>
      <w:rPr>
        <w:rFonts w:hint="default"/>
      </w:rPr>
    </w:lvl>
    <w:lvl w:ilvl="2" w:tplc="B76E7116">
      <w:numFmt w:val="bullet"/>
      <w:lvlText w:val="•"/>
      <w:lvlJc w:val="left"/>
      <w:pPr>
        <w:ind w:left="1124" w:hanging="158"/>
      </w:pPr>
      <w:rPr>
        <w:rFonts w:hint="default"/>
      </w:rPr>
    </w:lvl>
    <w:lvl w:ilvl="3" w:tplc="BB064576">
      <w:numFmt w:val="bullet"/>
      <w:lvlText w:val="•"/>
      <w:lvlJc w:val="left"/>
      <w:pPr>
        <w:ind w:left="1497" w:hanging="158"/>
      </w:pPr>
      <w:rPr>
        <w:rFonts w:hint="default"/>
      </w:rPr>
    </w:lvl>
    <w:lvl w:ilvl="4" w:tplc="1ED06120">
      <w:numFmt w:val="bullet"/>
      <w:lvlText w:val="•"/>
      <w:lvlJc w:val="left"/>
      <w:pPr>
        <w:ind w:left="1869" w:hanging="158"/>
      </w:pPr>
      <w:rPr>
        <w:rFonts w:hint="default"/>
      </w:rPr>
    </w:lvl>
    <w:lvl w:ilvl="5" w:tplc="7B10A034">
      <w:numFmt w:val="bullet"/>
      <w:lvlText w:val="•"/>
      <w:lvlJc w:val="left"/>
      <w:pPr>
        <w:ind w:left="2242" w:hanging="158"/>
      </w:pPr>
      <w:rPr>
        <w:rFonts w:hint="default"/>
      </w:rPr>
    </w:lvl>
    <w:lvl w:ilvl="6" w:tplc="60D8C9C4">
      <w:numFmt w:val="bullet"/>
      <w:lvlText w:val="•"/>
      <w:lvlJc w:val="left"/>
      <w:pPr>
        <w:ind w:left="2614" w:hanging="158"/>
      </w:pPr>
      <w:rPr>
        <w:rFonts w:hint="default"/>
      </w:rPr>
    </w:lvl>
    <w:lvl w:ilvl="7" w:tplc="DE504AA0">
      <w:numFmt w:val="bullet"/>
      <w:lvlText w:val="•"/>
      <w:lvlJc w:val="left"/>
      <w:pPr>
        <w:ind w:left="2986" w:hanging="158"/>
      </w:pPr>
      <w:rPr>
        <w:rFonts w:hint="default"/>
      </w:rPr>
    </w:lvl>
    <w:lvl w:ilvl="8" w:tplc="4D646712">
      <w:numFmt w:val="bullet"/>
      <w:lvlText w:val="•"/>
      <w:lvlJc w:val="left"/>
      <w:pPr>
        <w:ind w:left="3359" w:hanging="158"/>
      </w:pPr>
      <w:rPr>
        <w:rFonts w:hint="default"/>
      </w:rPr>
    </w:lvl>
  </w:abstractNum>
  <w:abstractNum w:abstractNumId="8" w15:restartNumberingAfterBreak="0">
    <w:nsid w:val="7A282358"/>
    <w:multiLevelType w:val="hybridMultilevel"/>
    <w:tmpl w:val="1BB8D144"/>
    <w:lvl w:ilvl="0" w:tplc="CD20F7D8">
      <w:numFmt w:val="bullet"/>
      <w:lvlText w:val=""/>
      <w:lvlJc w:val="left"/>
      <w:pPr>
        <w:ind w:left="383" w:hanging="158"/>
      </w:pPr>
      <w:rPr>
        <w:rFonts w:ascii="Symbol" w:eastAsia="Symbol" w:hAnsi="Symbol" w:cs="Symbol" w:hint="default"/>
        <w:w w:val="103"/>
        <w:sz w:val="19"/>
        <w:szCs w:val="19"/>
      </w:rPr>
    </w:lvl>
    <w:lvl w:ilvl="1" w:tplc="B498DFEA">
      <w:numFmt w:val="bullet"/>
      <w:lvlText w:val="•"/>
      <w:lvlJc w:val="left"/>
      <w:pPr>
        <w:ind w:left="752" w:hanging="158"/>
      </w:pPr>
      <w:rPr>
        <w:rFonts w:hint="default"/>
      </w:rPr>
    </w:lvl>
    <w:lvl w:ilvl="2" w:tplc="A3DA7D3E">
      <w:numFmt w:val="bullet"/>
      <w:lvlText w:val="•"/>
      <w:lvlJc w:val="left"/>
      <w:pPr>
        <w:ind w:left="1124" w:hanging="158"/>
      </w:pPr>
      <w:rPr>
        <w:rFonts w:hint="default"/>
      </w:rPr>
    </w:lvl>
    <w:lvl w:ilvl="3" w:tplc="465C8F5E">
      <w:numFmt w:val="bullet"/>
      <w:lvlText w:val="•"/>
      <w:lvlJc w:val="left"/>
      <w:pPr>
        <w:ind w:left="1497" w:hanging="158"/>
      </w:pPr>
      <w:rPr>
        <w:rFonts w:hint="default"/>
      </w:rPr>
    </w:lvl>
    <w:lvl w:ilvl="4" w:tplc="AB92A2A4">
      <w:numFmt w:val="bullet"/>
      <w:lvlText w:val="•"/>
      <w:lvlJc w:val="left"/>
      <w:pPr>
        <w:ind w:left="1869" w:hanging="158"/>
      </w:pPr>
      <w:rPr>
        <w:rFonts w:hint="default"/>
      </w:rPr>
    </w:lvl>
    <w:lvl w:ilvl="5" w:tplc="F9C0C1AE">
      <w:numFmt w:val="bullet"/>
      <w:lvlText w:val="•"/>
      <w:lvlJc w:val="left"/>
      <w:pPr>
        <w:ind w:left="2242" w:hanging="158"/>
      </w:pPr>
      <w:rPr>
        <w:rFonts w:hint="default"/>
      </w:rPr>
    </w:lvl>
    <w:lvl w:ilvl="6" w:tplc="BCEE8DC4">
      <w:numFmt w:val="bullet"/>
      <w:lvlText w:val="•"/>
      <w:lvlJc w:val="left"/>
      <w:pPr>
        <w:ind w:left="2614" w:hanging="158"/>
      </w:pPr>
      <w:rPr>
        <w:rFonts w:hint="default"/>
      </w:rPr>
    </w:lvl>
    <w:lvl w:ilvl="7" w:tplc="F9BA0B58">
      <w:numFmt w:val="bullet"/>
      <w:lvlText w:val="•"/>
      <w:lvlJc w:val="left"/>
      <w:pPr>
        <w:ind w:left="2986" w:hanging="158"/>
      </w:pPr>
      <w:rPr>
        <w:rFonts w:hint="default"/>
      </w:rPr>
    </w:lvl>
    <w:lvl w:ilvl="8" w:tplc="95E281B8">
      <w:numFmt w:val="bullet"/>
      <w:lvlText w:val="•"/>
      <w:lvlJc w:val="left"/>
      <w:pPr>
        <w:ind w:left="3359" w:hanging="158"/>
      </w:pPr>
      <w:rPr>
        <w:rFonts w:hint="default"/>
      </w:rPr>
    </w:lvl>
  </w:abstractNum>
  <w:abstractNum w:abstractNumId="9" w15:restartNumberingAfterBreak="0">
    <w:nsid w:val="7C743DDD"/>
    <w:multiLevelType w:val="hybridMultilevel"/>
    <w:tmpl w:val="C7FE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7"/>
  </w:num>
  <w:num w:numId="6">
    <w:abstractNumId w:val="4"/>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57"/>
    <w:rsid w:val="00000612"/>
    <w:rsid w:val="0008117D"/>
    <w:rsid w:val="00081391"/>
    <w:rsid w:val="000936A0"/>
    <w:rsid w:val="000F0767"/>
    <w:rsid w:val="00127206"/>
    <w:rsid w:val="0014665B"/>
    <w:rsid w:val="001578BA"/>
    <w:rsid w:val="00186C57"/>
    <w:rsid w:val="001B0678"/>
    <w:rsid w:val="001B0966"/>
    <w:rsid w:val="001B2B01"/>
    <w:rsid w:val="0028081B"/>
    <w:rsid w:val="002A0959"/>
    <w:rsid w:val="002C478A"/>
    <w:rsid w:val="002F62CE"/>
    <w:rsid w:val="003232CD"/>
    <w:rsid w:val="00337C14"/>
    <w:rsid w:val="003609D1"/>
    <w:rsid w:val="003942A7"/>
    <w:rsid w:val="003B5772"/>
    <w:rsid w:val="003B79CE"/>
    <w:rsid w:val="003D0C46"/>
    <w:rsid w:val="003D15CF"/>
    <w:rsid w:val="0043006D"/>
    <w:rsid w:val="00456D40"/>
    <w:rsid w:val="0049183F"/>
    <w:rsid w:val="004E0516"/>
    <w:rsid w:val="00520967"/>
    <w:rsid w:val="00541751"/>
    <w:rsid w:val="005530D2"/>
    <w:rsid w:val="005552FF"/>
    <w:rsid w:val="00571B36"/>
    <w:rsid w:val="00597B7E"/>
    <w:rsid w:val="005A1353"/>
    <w:rsid w:val="005A4525"/>
    <w:rsid w:val="005B340F"/>
    <w:rsid w:val="005B7FE3"/>
    <w:rsid w:val="005F4E2B"/>
    <w:rsid w:val="00634936"/>
    <w:rsid w:val="00635E23"/>
    <w:rsid w:val="0066747A"/>
    <w:rsid w:val="00676AE4"/>
    <w:rsid w:val="006D5D78"/>
    <w:rsid w:val="0070187D"/>
    <w:rsid w:val="00744C90"/>
    <w:rsid w:val="00747C42"/>
    <w:rsid w:val="00770977"/>
    <w:rsid w:val="00783655"/>
    <w:rsid w:val="0079175D"/>
    <w:rsid w:val="007939EC"/>
    <w:rsid w:val="007B1E70"/>
    <w:rsid w:val="007C0434"/>
    <w:rsid w:val="00843305"/>
    <w:rsid w:val="00856147"/>
    <w:rsid w:val="008C7586"/>
    <w:rsid w:val="008E5B1D"/>
    <w:rsid w:val="008F56C9"/>
    <w:rsid w:val="00924B19"/>
    <w:rsid w:val="009323F2"/>
    <w:rsid w:val="00936A1D"/>
    <w:rsid w:val="00962FD7"/>
    <w:rsid w:val="009B2768"/>
    <w:rsid w:val="009E2A4A"/>
    <w:rsid w:val="009E7ED8"/>
    <w:rsid w:val="00A30E0D"/>
    <w:rsid w:val="00A37A80"/>
    <w:rsid w:val="00A52054"/>
    <w:rsid w:val="00A5302C"/>
    <w:rsid w:val="00A77161"/>
    <w:rsid w:val="00AB01C1"/>
    <w:rsid w:val="00AB7859"/>
    <w:rsid w:val="00AE63AC"/>
    <w:rsid w:val="00AE7D44"/>
    <w:rsid w:val="00AF30A7"/>
    <w:rsid w:val="00B20A59"/>
    <w:rsid w:val="00B61851"/>
    <w:rsid w:val="00B8215C"/>
    <w:rsid w:val="00B9779B"/>
    <w:rsid w:val="00BA0387"/>
    <w:rsid w:val="00BB2FE0"/>
    <w:rsid w:val="00BB696F"/>
    <w:rsid w:val="00BE22C0"/>
    <w:rsid w:val="00C02774"/>
    <w:rsid w:val="00C10CB0"/>
    <w:rsid w:val="00C93F57"/>
    <w:rsid w:val="00C94062"/>
    <w:rsid w:val="00CF76BD"/>
    <w:rsid w:val="00D107D3"/>
    <w:rsid w:val="00D12CB3"/>
    <w:rsid w:val="00D151C8"/>
    <w:rsid w:val="00D17575"/>
    <w:rsid w:val="00D23303"/>
    <w:rsid w:val="00D75611"/>
    <w:rsid w:val="00D90E39"/>
    <w:rsid w:val="00E06474"/>
    <w:rsid w:val="00E20AE9"/>
    <w:rsid w:val="00E21BC8"/>
    <w:rsid w:val="00E62E23"/>
    <w:rsid w:val="00E643EA"/>
    <w:rsid w:val="00EA7D4E"/>
    <w:rsid w:val="00EC05F7"/>
    <w:rsid w:val="00ED0704"/>
    <w:rsid w:val="00EF2A54"/>
    <w:rsid w:val="00F25856"/>
    <w:rsid w:val="00F33EF1"/>
    <w:rsid w:val="00F345ED"/>
    <w:rsid w:val="00F362A8"/>
    <w:rsid w:val="00F5395F"/>
    <w:rsid w:val="00F77F80"/>
    <w:rsid w:val="00FA64A0"/>
    <w:rsid w:val="00FB3B36"/>
    <w:rsid w:val="00FD1018"/>
    <w:rsid w:val="00FE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FDE02"/>
  <w15:docId w15:val="{A659DF5E-AF78-4490-B428-6161C96F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9"/>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01C1"/>
    <w:rPr>
      <w:sz w:val="16"/>
      <w:szCs w:val="16"/>
    </w:rPr>
  </w:style>
  <w:style w:type="paragraph" w:styleId="CommentText">
    <w:name w:val="annotation text"/>
    <w:basedOn w:val="Normal"/>
    <w:link w:val="CommentTextChar"/>
    <w:uiPriority w:val="99"/>
    <w:semiHidden/>
    <w:unhideWhenUsed/>
    <w:rsid w:val="00AB01C1"/>
    <w:rPr>
      <w:sz w:val="20"/>
      <w:szCs w:val="20"/>
    </w:rPr>
  </w:style>
  <w:style w:type="character" w:customStyle="1" w:styleId="CommentTextChar">
    <w:name w:val="Comment Text Char"/>
    <w:basedOn w:val="DefaultParagraphFont"/>
    <w:link w:val="CommentText"/>
    <w:uiPriority w:val="99"/>
    <w:semiHidden/>
    <w:rsid w:val="00AB01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01C1"/>
    <w:rPr>
      <w:b/>
      <w:bCs/>
    </w:rPr>
  </w:style>
  <w:style w:type="character" w:customStyle="1" w:styleId="CommentSubjectChar">
    <w:name w:val="Comment Subject Char"/>
    <w:basedOn w:val="CommentTextChar"/>
    <w:link w:val="CommentSubject"/>
    <w:uiPriority w:val="99"/>
    <w:semiHidden/>
    <w:rsid w:val="00AB01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1C1"/>
    <w:rPr>
      <w:rFonts w:ascii="Segoe UI" w:eastAsia="Times New Roman" w:hAnsi="Segoe UI" w:cs="Segoe UI"/>
      <w:sz w:val="18"/>
      <w:szCs w:val="18"/>
    </w:rPr>
  </w:style>
  <w:style w:type="character" w:styleId="Hyperlink">
    <w:name w:val="Hyperlink"/>
    <w:basedOn w:val="DefaultParagraphFont"/>
    <w:uiPriority w:val="99"/>
    <w:unhideWhenUsed/>
    <w:rsid w:val="00081391"/>
    <w:rPr>
      <w:color w:val="0563C1"/>
      <w:u w:val="single"/>
    </w:rPr>
  </w:style>
  <w:style w:type="paragraph" w:styleId="Revision">
    <w:name w:val="Revision"/>
    <w:hidden/>
    <w:uiPriority w:val="99"/>
    <w:semiHidden/>
    <w:rsid w:val="0070187D"/>
    <w:pPr>
      <w:widowControl/>
      <w:autoSpaceDE/>
      <w:autoSpaceDN/>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6747A"/>
    <w:rPr>
      <w:color w:val="605E5C"/>
      <w:shd w:val="clear" w:color="auto" w:fill="E1DFDD"/>
    </w:rPr>
  </w:style>
  <w:style w:type="character" w:customStyle="1" w:styleId="BodyTextChar">
    <w:name w:val="Body Text Char"/>
    <w:basedOn w:val="DefaultParagraphFont"/>
    <w:link w:val="BodyText"/>
    <w:uiPriority w:val="1"/>
    <w:rsid w:val="00B20A59"/>
    <w:rPr>
      <w:rFonts w:ascii="Times New Roman" w:eastAsia="Times New Roman" w:hAnsi="Times New Roman" w:cs="Times New Roman"/>
      <w:sz w:val="21"/>
      <w:szCs w:val="21"/>
    </w:rPr>
  </w:style>
  <w:style w:type="character" w:styleId="UnresolvedMention">
    <w:name w:val="Unresolved Mention"/>
    <w:basedOn w:val="DefaultParagraphFont"/>
    <w:uiPriority w:val="99"/>
    <w:semiHidden/>
    <w:unhideWhenUsed/>
    <w:rsid w:val="00C93F57"/>
    <w:rPr>
      <w:color w:val="605E5C"/>
      <w:shd w:val="clear" w:color="auto" w:fill="E1DFDD"/>
    </w:rPr>
  </w:style>
  <w:style w:type="paragraph" w:styleId="Header">
    <w:name w:val="header"/>
    <w:basedOn w:val="Normal"/>
    <w:link w:val="HeaderChar"/>
    <w:uiPriority w:val="99"/>
    <w:unhideWhenUsed/>
    <w:rsid w:val="00C93F57"/>
    <w:pPr>
      <w:tabs>
        <w:tab w:val="center" w:pos="4680"/>
        <w:tab w:val="right" w:pos="9360"/>
      </w:tabs>
    </w:pPr>
  </w:style>
  <w:style w:type="character" w:customStyle="1" w:styleId="HeaderChar">
    <w:name w:val="Header Char"/>
    <w:basedOn w:val="DefaultParagraphFont"/>
    <w:link w:val="Header"/>
    <w:uiPriority w:val="99"/>
    <w:rsid w:val="00C93F57"/>
    <w:rPr>
      <w:rFonts w:ascii="Times New Roman" w:eastAsia="Times New Roman" w:hAnsi="Times New Roman" w:cs="Times New Roman"/>
    </w:rPr>
  </w:style>
  <w:style w:type="paragraph" w:styleId="Footer">
    <w:name w:val="footer"/>
    <w:basedOn w:val="Normal"/>
    <w:link w:val="FooterChar"/>
    <w:uiPriority w:val="99"/>
    <w:unhideWhenUsed/>
    <w:rsid w:val="00C93F57"/>
    <w:pPr>
      <w:tabs>
        <w:tab w:val="center" w:pos="4680"/>
        <w:tab w:val="right" w:pos="9360"/>
      </w:tabs>
    </w:pPr>
  </w:style>
  <w:style w:type="character" w:customStyle="1" w:styleId="FooterChar">
    <w:name w:val="Footer Char"/>
    <w:basedOn w:val="DefaultParagraphFont"/>
    <w:link w:val="Footer"/>
    <w:uiPriority w:val="99"/>
    <w:rsid w:val="00C93F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713">
      <w:bodyDiv w:val="1"/>
      <w:marLeft w:val="0"/>
      <w:marRight w:val="0"/>
      <w:marTop w:val="0"/>
      <w:marBottom w:val="0"/>
      <w:divBdr>
        <w:top w:val="none" w:sz="0" w:space="0" w:color="auto"/>
        <w:left w:val="none" w:sz="0" w:space="0" w:color="auto"/>
        <w:bottom w:val="none" w:sz="0" w:space="0" w:color="auto"/>
        <w:right w:val="none" w:sz="0" w:space="0" w:color="auto"/>
      </w:divBdr>
    </w:div>
    <w:div w:id="284963936">
      <w:bodyDiv w:val="1"/>
      <w:marLeft w:val="0"/>
      <w:marRight w:val="0"/>
      <w:marTop w:val="0"/>
      <w:marBottom w:val="0"/>
      <w:divBdr>
        <w:top w:val="none" w:sz="0" w:space="0" w:color="auto"/>
        <w:left w:val="none" w:sz="0" w:space="0" w:color="auto"/>
        <w:bottom w:val="none" w:sz="0" w:space="0" w:color="auto"/>
        <w:right w:val="none" w:sz="0" w:space="0" w:color="auto"/>
      </w:divBdr>
    </w:div>
    <w:div w:id="345445960">
      <w:bodyDiv w:val="1"/>
      <w:marLeft w:val="0"/>
      <w:marRight w:val="0"/>
      <w:marTop w:val="0"/>
      <w:marBottom w:val="0"/>
      <w:divBdr>
        <w:top w:val="none" w:sz="0" w:space="0" w:color="auto"/>
        <w:left w:val="none" w:sz="0" w:space="0" w:color="auto"/>
        <w:bottom w:val="none" w:sz="0" w:space="0" w:color="auto"/>
        <w:right w:val="none" w:sz="0" w:space="0" w:color="auto"/>
      </w:divBdr>
    </w:div>
    <w:div w:id="421992294">
      <w:bodyDiv w:val="1"/>
      <w:marLeft w:val="0"/>
      <w:marRight w:val="0"/>
      <w:marTop w:val="0"/>
      <w:marBottom w:val="0"/>
      <w:divBdr>
        <w:top w:val="none" w:sz="0" w:space="0" w:color="auto"/>
        <w:left w:val="none" w:sz="0" w:space="0" w:color="auto"/>
        <w:bottom w:val="none" w:sz="0" w:space="0" w:color="auto"/>
        <w:right w:val="none" w:sz="0" w:space="0" w:color="auto"/>
      </w:divBdr>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1223709925">
      <w:bodyDiv w:val="1"/>
      <w:marLeft w:val="0"/>
      <w:marRight w:val="0"/>
      <w:marTop w:val="0"/>
      <w:marBottom w:val="0"/>
      <w:divBdr>
        <w:top w:val="none" w:sz="0" w:space="0" w:color="auto"/>
        <w:left w:val="none" w:sz="0" w:space="0" w:color="auto"/>
        <w:bottom w:val="none" w:sz="0" w:space="0" w:color="auto"/>
        <w:right w:val="none" w:sz="0" w:space="0" w:color="auto"/>
      </w:divBdr>
    </w:div>
    <w:div w:id="1235358029">
      <w:bodyDiv w:val="1"/>
      <w:marLeft w:val="0"/>
      <w:marRight w:val="0"/>
      <w:marTop w:val="0"/>
      <w:marBottom w:val="0"/>
      <w:divBdr>
        <w:top w:val="none" w:sz="0" w:space="0" w:color="auto"/>
        <w:left w:val="none" w:sz="0" w:space="0" w:color="auto"/>
        <w:bottom w:val="none" w:sz="0" w:space="0" w:color="auto"/>
        <w:right w:val="none" w:sz="0" w:space="0" w:color="auto"/>
      </w:divBdr>
    </w:div>
    <w:div w:id="1638992347">
      <w:bodyDiv w:val="1"/>
      <w:marLeft w:val="0"/>
      <w:marRight w:val="0"/>
      <w:marTop w:val="0"/>
      <w:marBottom w:val="0"/>
      <w:divBdr>
        <w:top w:val="none" w:sz="0" w:space="0" w:color="auto"/>
        <w:left w:val="none" w:sz="0" w:space="0" w:color="auto"/>
        <w:bottom w:val="none" w:sz="0" w:space="0" w:color="auto"/>
        <w:right w:val="none" w:sz="0" w:space="0" w:color="auto"/>
      </w:divBdr>
    </w:div>
    <w:div w:id="1716857586">
      <w:bodyDiv w:val="1"/>
      <w:marLeft w:val="0"/>
      <w:marRight w:val="0"/>
      <w:marTop w:val="0"/>
      <w:marBottom w:val="0"/>
      <w:divBdr>
        <w:top w:val="none" w:sz="0" w:space="0" w:color="auto"/>
        <w:left w:val="none" w:sz="0" w:space="0" w:color="auto"/>
        <w:bottom w:val="none" w:sz="0" w:space="0" w:color="auto"/>
        <w:right w:val="none" w:sz="0" w:space="0" w:color="auto"/>
      </w:divBdr>
    </w:div>
    <w:div w:id="1724478075">
      <w:bodyDiv w:val="1"/>
      <w:marLeft w:val="0"/>
      <w:marRight w:val="0"/>
      <w:marTop w:val="0"/>
      <w:marBottom w:val="0"/>
      <w:divBdr>
        <w:top w:val="none" w:sz="0" w:space="0" w:color="auto"/>
        <w:left w:val="none" w:sz="0" w:space="0" w:color="auto"/>
        <w:bottom w:val="none" w:sz="0" w:space="0" w:color="auto"/>
        <w:right w:val="none" w:sz="0" w:space="0" w:color="auto"/>
      </w:divBdr>
    </w:div>
    <w:div w:id="1962614834">
      <w:bodyDiv w:val="1"/>
      <w:marLeft w:val="0"/>
      <w:marRight w:val="0"/>
      <w:marTop w:val="0"/>
      <w:marBottom w:val="0"/>
      <w:divBdr>
        <w:top w:val="none" w:sz="0" w:space="0" w:color="auto"/>
        <w:left w:val="none" w:sz="0" w:space="0" w:color="auto"/>
        <w:bottom w:val="none" w:sz="0" w:space="0" w:color="auto"/>
        <w:right w:val="none" w:sz="0" w:space="0" w:color="auto"/>
      </w:divBdr>
    </w:div>
    <w:div w:id="207592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lineplus.gov/" TargetMode="External"/><Relationship Id="rId18" Type="http://schemas.openxmlformats.org/officeDocument/2006/relationships/hyperlink" Target="https://www.ncbi.nlm.nih.gov/pubmed"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ncbi.nlm.nih.gov/pm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lm.nih.gov/" TargetMode="External"/><Relationship Id="rId17" Type="http://schemas.openxmlformats.org/officeDocument/2006/relationships/image" Target="media/image2.jpeg"/><Relationship Id="rId25" Type="http://schemas.openxmlformats.org/officeDocument/2006/relationships/hyperlink" Target="https://clinicaltrials.gov/"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bi.nlm.nih.gov/pubmed/" TargetMode="External"/><Relationship Id="rId20" Type="http://schemas.openxmlformats.org/officeDocument/2006/relationships/image" Target="media/image3.png"/><Relationship Id="rId29" Type="http://schemas.openxmlformats.org/officeDocument/2006/relationships/hyperlink" Target="https://www.ncbi.nlm.nih.gov/g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lanet.org/p/cm/ld/fid=201" TargetMode="External"/><Relationship Id="rId24" Type="http://schemas.openxmlformats.org/officeDocument/2006/relationships/hyperlink" Target="https://nnlm.gov" TargetMode="External"/><Relationship Id="rId32" Type="http://schemas.openxmlformats.org/officeDocument/2006/relationships/hyperlink" Target="https://ghr.nlm.nih.gov" TargetMode="External"/><Relationship Id="rId5" Type="http://schemas.openxmlformats.org/officeDocument/2006/relationships/numbering" Target="numbering.xml"/><Relationship Id="rId15" Type="http://schemas.openxmlformats.org/officeDocument/2006/relationships/hyperlink" Target="https://medlineplus.gov" TargetMode="External"/><Relationship Id="rId23" Type="http://schemas.openxmlformats.org/officeDocument/2006/relationships/image" Target="media/image4.png"/><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ncbi.nlm.nih.gov/pmc/" TargetMode="Externa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nnlm.gov/" TargetMode="External"/><Relationship Id="rId27" Type="http://schemas.openxmlformats.org/officeDocument/2006/relationships/hyperlink" Target="https://clinicaltrials.gov" TargetMode="External"/><Relationship Id="rId30" Type="http://schemas.openxmlformats.org/officeDocument/2006/relationships/hyperlink" Target="https://ghr.nlm.nih.gov/"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8" ma:contentTypeDescription="Create a new document." ma:contentTypeScope="" ma:versionID="fd8e524aec48c0f563c3469d3efc041b">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43dcf254d9566b44ca8d1128d7a7076"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7497-FB69-4952-82C5-99E432D2FCE1}">
  <ds:schemaRefs>
    <ds:schemaRef ds:uri="http://schemas.microsoft.com/sharepoint/v3/contenttype/forms"/>
  </ds:schemaRefs>
</ds:datastoreItem>
</file>

<file path=customXml/itemProps2.xml><?xml version="1.0" encoding="utf-8"?>
<ds:datastoreItem xmlns:ds="http://schemas.openxmlformats.org/officeDocument/2006/customXml" ds:itemID="{EEB99893-3B14-49D6-B4FF-8A9252F9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6A090-8CC8-4EDF-AB6A-B862FB8BE8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089216-5BC0-4839-BA6B-7FC4881E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Baliozian</dc:creator>
  <cp:lastModifiedBy>Mary Langman</cp:lastModifiedBy>
  <cp:revision>2</cp:revision>
  <cp:lastPrinted>2019-03-21T21:25:00Z</cp:lastPrinted>
  <dcterms:created xsi:type="dcterms:W3CDTF">2020-02-17T22:14:00Z</dcterms:created>
  <dcterms:modified xsi:type="dcterms:W3CDTF">2020-02-17T22:14:00Z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Word</vt:lpwstr>
  </property>
  <property fmtid="{D5CDD505-2E9C-101B-9397-08002B2CF9AE}" pid="4" name="LastSaved">
    <vt:filetime>2018-02-16T00:00:00Z</vt:filetime>
  </property>
  <property fmtid="{D5CDD505-2E9C-101B-9397-08002B2CF9AE}" pid="5" name="ContentTypeId">
    <vt:lpwstr>0x01010053E0544D60D6284684224A3200DBAE35</vt:lpwstr>
  </property>
</Properties>
</file>