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8CDD" w14:textId="13A27AB3" w:rsidR="00E54000" w:rsidRDefault="00E54000" w:rsidP="00E54000">
      <w:pPr>
        <w:spacing w:after="150" w:line="240" w:lineRule="auto"/>
        <w:outlineLvl w:val="0"/>
        <w:rPr>
          <w:rFonts w:ascii="Arial" w:eastAsia="Times New Roman" w:hAnsi="Arial" w:cs="Arial"/>
          <w:b/>
          <w:color w:val="000000" w:themeColor="text1"/>
          <w:kern w:val="36"/>
          <w:sz w:val="24"/>
          <w:szCs w:val="24"/>
        </w:rPr>
      </w:pPr>
      <w:r>
        <w:rPr>
          <w:noProof/>
        </w:rPr>
        <w:drawing>
          <wp:inline distT="0" distB="0" distL="0" distR="0" wp14:anchorId="6AD85A02" wp14:editId="6D7DF164">
            <wp:extent cx="13716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p>
    <w:p w14:paraId="541557EA" w14:textId="77777777" w:rsidR="00E54000" w:rsidRDefault="00E54000" w:rsidP="00E54000">
      <w:pPr>
        <w:spacing w:after="150" w:line="240" w:lineRule="auto"/>
        <w:outlineLvl w:val="0"/>
        <w:rPr>
          <w:rFonts w:ascii="Arial" w:eastAsia="Times New Roman" w:hAnsi="Arial" w:cs="Arial"/>
          <w:b/>
          <w:color w:val="000000" w:themeColor="text1"/>
          <w:kern w:val="36"/>
          <w:sz w:val="24"/>
          <w:szCs w:val="24"/>
        </w:rPr>
      </w:pPr>
      <w:bookmarkStart w:id="0" w:name="_GoBack"/>
      <w:bookmarkEnd w:id="0"/>
    </w:p>
    <w:p w14:paraId="7FD5D473" w14:textId="51DA8BC4" w:rsidR="00E54000" w:rsidRPr="00E54000" w:rsidRDefault="00E54000" w:rsidP="00E54000">
      <w:pPr>
        <w:spacing w:after="150" w:line="240" w:lineRule="auto"/>
        <w:jc w:val="center"/>
        <w:outlineLvl w:val="0"/>
        <w:rPr>
          <w:rFonts w:ascii="Arial" w:eastAsia="Times New Roman" w:hAnsi="Arial" w:cs="Arial"/>
          <w:b/>
          <w:color w:val="000000" w:themeColor="text1"/>
          <w:kern w:val="36"/>
          <w:sz w:val="24"/>
          <w:szCs w:val="24"/>
        </w:rPr>
      </w:pPr>
      <w:r w:rsidRPr="00E54000">
        <w:rPr>
          <w:rFonts w:ascii="Arial" w:eastAsia="Times New Roman" w:hAnsi="Arial" w:cs="Arial"/>
          <w:b/>
          <w:color w:val="000000" w:themeColor="text1"/>
          <w:kern w:val="36"/>
          <w:sz w:val="24"/>
          <w:szCs w:val="24"/>
        </w:rPr>
        <w:t>Call for Book Proposals: Green Libraries and Library Spaces</w:t>
      </w:r>
    </w:p>
    <w:p w14:paraId="3A00EA2D" w14:textId="77777777" w:rsidR="00E54000" w:rsidRDefault="00E54000" w:rsidP="00E54000">
      <w:pPr>
        <w:spacing w:after="150" w:line="240" w:lineRule="auto"/>
        <w:rPr>
          <w:rFonts w:ascii="Arial" w:eastAsia="Times New Roman" w:hAnsi="Arial" w:cs="Arial"/>
          <w:color w:val="333333"/>
          <w:sz w:val="24"/>
          <w:szCs w:val="24"/>
        </w:rPr>
      </w:pPr>
    </w:p>
    <w:p w14:paraId="5975191F" w14:textId="5B49D1C2" w:rsidR="00E54000" w:rsidRPr="00E54000" w:rsidRDefault="00E54000" w:rsidP="00E54000">
      <w:pPr>
        <w:spacing w:after="150" w:line="240" w:lineRule="auto"/>
        <w:rPr>
          <w:rFonts w:ascii="Arial" w:eastAsia="Times New Roman" w:hAnsi="Arial" w:cs="Arial"/>
          <w:color w:val="333333"/>
          <w:sz w:val="24"/>
          <w:szCs w:val="24"/>
        </w:rPr>
      </w:pPr>
      <w:r w:rsidRPr="00E54000">
        <w:rPr>
          <w:rFonts w:ascii="Arial" w:eastAsia="Times New Roman" w:hAnsi="Arial" w:cs="Arial"/>
          <w:color w:val="333333"/>
          <w:sz w:val="24"/>
          <w:szCs w:val="24"/>
        </w:rPr>
        <w:t>Though often seen only as an approach to ecological preservation, creating a green building or green workspace has many potential benefits. Libraries and librarians can take advantage of the greening to provide both cost savings and more hospitable environments for their patrons. This book will surely become a reference on approaches to creating a green library space and library operation through retrofitting, new construction, or changes to daily operations. It should provide background information on green buildings and building certifications, the benefits of green buildings and green retrofits to existing buildings, and potential improvements that green approaches can offer to processes that are unique to libraries, such as collection management and development.</w:t>
      </w:r>
    </w:p>
    <w:p w14:paraId="7C51B2F8" w14:textId="77777777" w:rsidR="00E54000" w:rsidRPr="00E54000" w:rsidRDefault="00E54000" w:rsidP="00E54000">
      <w:pPr>
        <w:spacing w:after="150" w:line="240" w:lineRule="auto"/>
        <w:rPr>
          <w:rFonts w:ascii="Arial" w:eastAsia="Times New Roman" w:hAnsi="Arial" w:cs="Arial"/>
          <w:color w:val="333333"/>
          <w:sz w:val="24"/>
          <w:szCs w:val="24"/>
        </w:rPr>
      </w:pPr>
      <w:r w:rsidRPr="00E54000">
        <w:rPr>
          <w:rFonts w:ascii="Arial" w:eastAsia="Times New Roman" w:hAnsi="Arial" w:cs="Arial"/>
          <w:color w:val="333333"/>
          <w:sz w:val="24"/>
          <w:szCs w:val="24"/>
        </w:rPr>
        <w:t>Ideally, this book will include examples and case studies examining libraries that have obtained Leadership in Energy and Environmental Design (LEED) certification or completed greening projects. Planning material and how-to ideas for libraries with a range of budgets should also be considered, in addition to information for libraries that are developing budgets or planning for building or space retrofits or new construction.</w:t>
      </w:r>
    </w:p>
    <w:p w14:paraId="654BC5D5" w14:textId="77777777" w:rsidR="00E54000" w:rsidRPr="00E54000" w:rsidRDefault="00E54000" w:rsidP="00E54000">
      <w:pPr>
        <w:spacing w:before="150" w:after="150" w:line="240" w:lineRule="auto"/>
        <w:outlineLvl w:val="3"/>
        <w:rPr>
          <w:rFonts w:ascii="Arial" w:eastAsia="Times New Roman" w:hAnsi="Arial" w:cs="Arial"/>
          <w:color w:val="333333"/>
          <w:sz w:val="24"/>
          <w:szCs w:val="24"/>
        </w:rPr>
      </w:pPr>
      <w:r w:rsidRPr="00E54000">
        <w:rPr>
          <w:rFonts w:ascii="Arial" w:eastAsia="Times New Roman" w:hAnsi="Arial" w:cs="Arial"/>
          <w:color w:val="333333"/>
          <w:sz w:val="24"/>
          <w:szCs w:val="24"/>
        </w:rPr>
        <w:t>Potential topics for green libraries</w:t>
      </w:r>
    </w:p>
    <w:p w14:paraId="26F17265" w14:textId="77777777" w:rsidR="00E54000" w:rsidRPr="00E54000" w:rsidRDefault="00E54000" w:rsidP="00E54000">
      <w:pPr>
        <w:spacing w:after="150" w:line="240" w:lineRule="auto"/>
        <w:rPr>
          <w:rFonts w:ascii="Arial" w:eastAsia="Times New Roman" w:hAnsi="Arial" w:cs="Arial"/>
          <w:color w:val="333333"/>
          <w:sz w:val="24"/>
          <w:szCs w:val="24"/>
        </w:rPr>
      </w:pPr>
      <w:r w:rsidRPr="00E54000">
        <w:rPr>
          <w:rFonts w:ascii="Arial" w:eastAsia="Times New Roman" w:hAnsi="Arial" w:cs="Arial"/>
          <w:color w:val="333333"/>
          <w:sz w:val="24"/>
          <w:szCs w:val="24"/>
        </w:rPr>
        <w:t>Section 1: Background Information</w:t>
      </w:r>
    </w:p>
    <w:p w14:paraId="17BE4364" w14:textId="77777777" w:rsidR="00E54000" w:rsidRPr="00E54000" w:rsidRDefault="00E54000" w:rsidP="00E54000">
      <w:pPr>
        <w:numPr>
          <w:ilvl w:val="0"/>
          <w:numId w:val="2"/>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 xml:space="preserve">Definition of a green building and green practices </w:t>
      </w:r>
    </w:p>
    <w:p w14:paraId="792C1DBB" w14:textId="77777777" w:rsidR="00E54000" w:rsidRPr="00E54000" w:rsidRDefault="00E54000" w:rsidP="00E54000">
      <w:pPr>
        <w:numPr>
          <w:ilvl w:val="1"/>
          <w:numId w:val="2"/>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LEED certification</w:t>
      </w:r>
    </w:p>
    <w:p w14:paraId="2C7D76F0" w14:textId="77777777" w:rsidR="00E54000" w:rsidRPr="00E54000" w:rsidRDefault="00E54000" w:rsidP="00E54000">
      <w:pPr>
        <w:numPr>
          <w:ilvl w:val="1"/>
          <w:numId w:val="2"/>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Building retrofitting</w:t>
      </w:r>
    </w:p>
    <w:p w14:paraId="64488D28" w14:textId="77777777" w:rsidR="00E54000" w:rsidRPr="00E54000" w:rsidRDefault="00E54000" w:rsidP="00E54000">
      <w:pPr>
        <w:numPr>
          <w:ilvl w:val="1"/>
          <w:numId w:val="2"/>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New buildings</w:t>
      </w:r>
    </w:p>
    <w:p w14:paraId="4E5C2BAB" w14:textId="77777777" w:rsidR="00E54000" w:rsidRPr="00E54000" w:rsidRDefault="00E54000" w:rsidP="00E54000">
      <w:pPr>
        <w:numPr>
          <w:ilvl w:val="1"/>
          <w:numId w:val="2"/>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Green office practices and procedures</w:t>
      </w:r>
    </w:p>
    <w:p w14:paraId="41042DCA" w14:textId="77777777" w:rsidR="00E54000" w:rsidRPr="00E54000" w:rsidRDefault="00E54000" w:rsidP="00E54000">
      <w:pPr>
        <w:numPr>
          <w:ilvl w:val="0"/>
          <w:numId w:val="2"/>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 xml:space="preserve">Benefits of green buildings and management </w:t>
      </w:r>
    </w:p>
    <w:p w14:paraId="585D8316" w14:textId="77777777" w:rsidR="00E54000" w:rsidRPr="00E54000" w:rsidRDefault="00E54000" w:rsidP="00E54000">
      <w:pPr>
        <w:numPr>
          <w:ilvl w:val="1"/>
          <w:numId w:val="2"/>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Improvement of the physical environment for library patrons and staff</w:t>
      </w:r>
    </w:p>
    <w:p w14:paraId="167AC1A1" w14:textId="77777777" w:rsidR="00E54000" w:rsidRPr="00E54000" w:rsidRDefault="00E54000" w:rsidP="00E54000">
      <w:pPr>
        <w:numPr>
          <w:ilvl w:val="1"/>
          <w:numId w:val="2"/>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Energy savings</w:t>
      </w:r>
    </w:p>
    <w:p w14:paraId="7E6300C5" w14:textId="77777777" w:rsidR="00E54000" w:rsidRPr="00E54000" w:rsidRDefault="00E54000" w:rsidP="00E54000">
      <w:pPr>
        <w:numPr>
          <w:ilvl w:val="1"/>
          <w:numId w:val="2"/>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Cost savings</w:t>
      </w:r>
    </w:p>
    <w:p w14:paraId="37218A1E" w14:textId="77777777" w:rsidR="00E54000" w:rsidRPr="00E54000" w:rsidRDefault="00E54000" w:rsidP="00E54000">
      <w:pPr>
        <w:spacing w:after="150" w:line="240" w:lineRule="auto"/>
        <w:rPr>
          <w:rFonts w:ascii="Arial" w:eastAsia="Times New Roman" w:hAnsi="Arial" w:cs="Arial"/>
          <w:color w:val="333333"/>
          <w:sz w:val="24"/>
          <w:szCs w:val="24"/>
        </w:rPr>
      </w:pPr>
      <w:r w:rsidRPr="00E54000">
        <w:rPr>
          <w:rFonts w:ascii="Arial" w:eastAsia="Times New Roman" w:hAnsi="Arial" w:cs="Arial"/>
          <w:color w:val="333333"/>
          <w:sz w:val="24"/>
          <w:szCs w:val="24"/>
        </w:rPr>
        <w:t>Section 2: Case Studies and Examples</w:t>
      </w:r>
    </w:p>
    <w:p w14:paraId="1CBC60D1" w14:textId="77777777" w:rsidR="00E54000" w:rsidRPr="00E54000" w:rsidRDefault="00E54000" w:rsidP="00E54000">
      <w:pPr>
        <w:numPr>
          <w:ilvl w:val="0"/>
          <w:numId w:val="3"/>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Libraries with LEED certification</w:t>
      </w:r>
    </w:p>
    <w:p w14:paraId="01DAE315" w14:textId="77777777" w:rsidR="00E54000" w:rsidRPr="00E54000" w:rsidRDefault="00E54000" w:rsidP="00E54000">
      <w:pPr>
        <w:numPr>
          <w:ilvl w:val="0"/>
          <w:numId w:val="3"/>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Green projects to improve the physical library environment</w:t>
      </w:r>
    </w:p>
    <w:p w14:paraId="45465619" w14:textId="77777777" w:rsidR="00E54000" w:rsidRPr="00E54000" w:rsidRDefault="00E54000" w:rsidP="00E54000">
      <w:pPr>
        <w:numPr>
          <w:ilvl w:val="0"/>
          <w:numId w:val="3"/>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Green approaches to library operations</w:t>
      </w:r>
    </w:p>
    <w:p w14:paraId="3661E323" w14:textId="77777777" w:rsidR="00E54000" w:rsidRPr="00E54000" w:rsidRDefault="00E54000" w:rsidP="00E54000">
      <w:pPr>
        <w:spacing w:after="150" w:line="240" w:lineRule="auto"/>
        <w:rPr>
          <w:rFonts w:ascii="Arial" w:eastAsia="Times New Roman" w:hAnsi="Arial" w:cs="Arial"/>
          <w:color w:val="333333"/>
          <w:sz w:val="24"/>
          <w:szCs w:val="24"/>
        </w:rPr>
      </w:pPr>
      <w:r w:rsidRPr="00E54000">
        <w:rPr>
          <w:rFonts w:ascii="Arial" w:eastAsia="Times New Roman" w:hAnsi="Arial" w:cs="Arial"/>
          <w:color w:val="333333"/>
          <w:sz w:val="24"/>
          <w:szCs w:val="24"/>
        </w:rPr>
        <w:t>Section 3: Greening of Libraries</w:t>
      </w:r>
    </w:p>
    <w:p w14:paraId="64538F54" w14:textId="77777777" w:rsidR="00E54000" w:rsidRPr="00E54000" w:rsidRDefault="00E54000" w:rsidP="00E54000">
      <w:pPr>
        <w:numPr>
          <w:ilvl w:val="0"/>
          <w:numId w:val="4"/>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How to make the case for green improvements</w:t>
      </w:r>
    </w:p>
    <w:p w14:paraId="74AE6CA5" w14:textId="77777777" w:rsidR="00E54000" w:rsidRPr="00E54000" w:rsidRDefault="00E54000" w:rsidP="00E54000">
      <w:pPr>
        <w:numPr>
          <w:ilvl w:val="0"/>
          <w:numId w:val="4"/>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 xml:space="preserve">Green improvements for libraries with limited budgets </w:t>
      </w:r>
    </w:p>
    <w:p w14:paraId="628ADBB1" w14:textId="77777777" w:rsidR="00E54000" w:rsidRPr="00E54000" w:rsidRDefault="00E54000" w:rsidP="00E54000">
      <w:pPr>
        <w:numPr>
          <w:ilvl w:val="1"/>
          <w:numId w:val="4"/>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Green library operations</w:t>
      </w:r>
    </w:p>
    <w:p w14:paraId="041B08EB" w14:textId="77777777" w:rsidR="00E54000" w:rsidRPr="00E54000" w:rsidRDefault="00E54000" w:rsidP="00E54000">
      <w:pPr>
        <w:numPr>
          <w:ilvl w:val="1"/>
          <w:numId w:val="4"/>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Small green projects</w:t>
      </w:r>
    </w:p>
    <w:p w14:paraId="1C31DD44" w14:textId="77777777" w:rsidR="00E54000" w:rsidRPr="00E54000" w:rsidRDefault="00E54000" w:rsidP="00E54000">
      <w:pPr>
        <w:numPr>
          <w:ilvl w:val="0"/>
          <w:numId w:val="4"/>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 xml:space="preserve">Large-scale green improvements </w:t>
      </w:r>
    </w:p>
    <w:p w14:paraId="40022E87" w14:textId="77777777" w:rsidR="00E54000" w:rsidRPr="00E54000" w:rsidRDefault="00E54000" w:rsidP="00E54000">
      <w:pPr>
        <w:numPr>
          <w:ilvl w:val="1"/>
          <w:numId w:val="4"/>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Building retrofits</w:t>
      </w:r>
    </w:p>
    <w:p w14:paraId="2EBFCD0E" w14:textId="77777777" w:rsidR="00E54000" w:rsidRPr="00E54000" w:rsidRDefault="00E54000" w:rsidP="00E54000">
      <w:pPr>
        <w:numPr>
          <w:ilvl w:val="1"/>
          <w:numId w:val="4"/>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New library building construction</w:t>
      </w:r>
    </w:p>
    <w:p w14:paraId="0F2A6E07" w14:textId="77777777" w:rsidR="00E54000" w:rsidRPr="00E54000" w:rsidRDefault="00E54000" w:rsidP="00E54000">
      <w:pPr>
        <w:spacing w:after="150" w:line="240" w:lineRule="auto"/>
        <w:rPr>
          <w:rFonts w:ascii="Arial" w:eastAsia="Times New Roman" w:hAnsi="Arial" w:cs="Arial"/>
          <w:color w:val="333333"/>
          <w:sz w:val="24"/>
          <w:szCs w:val="24"/>
        </w:rPr>
      </w:pPr>
      <w:r w:rsidRPr="00E54000">
        <w:rPr>
          <w:rFonts w:ascii="Arial" w:eastAsia="Times New Roman" w:hAnsi="Arial" w:cs="Arial"/>
          <w:color w:val="333333"/>
          <w:sz w:val="24"/>
          <w:szCs w:val="24"/>
        </w:rPr>
        <w:lastRenderedPageBreak/>
        <w:t>Section 4: Additional Resources</w:t>
      </w:r>
    </w:p>
    <w:p w14:paraId="69CBB125" w14:textId="77777777" w:rsidR="00E54000" w:rsidRPr="00E54000" w:rsidRDefault="00E54000" w:rsidP="00E54000">
      <w:pPr>
        <w:numPr>
          <w:ilvl w:val="0"/>
          <w:numId w:val="5"/>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Contact information for green certification organizations</w:t>
      </w:r>
    </w:p>
    <w:p w14:paraId="4657D7E5" w14:textId="77777777" w:rsidR="00E54000" w:rsidRPr="00E54000" w:rsidRDefault="00E54000" w:rsidP="00E54000">
      <w:pPr>
        <w:numPr>
          <w:ilvl w:val="0"/>
          <w:numId w:val="5"/>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Grant information for building improvements</w:t>
      </w:r>
    </w:p>
    <w:p w14:paraId="330244E8" w14:textId="77777777" w:rsidR="00E54000" w:rsidRPr="00E54000" w:rsidRDefault="00E54000" w:rsidP="00E54000">
      <w:pPr>
        <w:numPr>
          <w:ilvl w:val="0"/>
          <w:numId w:val="5"/>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Guides for green or environmentally friendly library operation</w:t>
      </w:r>
    </w:p>
    <w:p w14:paraId="791A5484" w14:textId="77777777" w:rsidR="00E54000" w:rsidRPr="00E54000" w:rsidRDefault="00E54000" w:rsidP="00E54000">
      <w:pPr>
        <w:spacing w:after="150" w:line="240" w:lineRule="auto"/>
        <w:rPr>
          <w:rFonts w:ascii="Arial" w:eastAsia="Times New Roman" w:hAnsi="Arial" w:cs="Arial"/>
          <w:color w:val="333333"/>
          <w:sz w:val="24"/>
          <w:szCs w:val="24"/>
        </w:rPr>
      </w:pPr>
      <w:r w:rsidRPr="00E54000">
        <w:rPr>
          <w:rFonts w:ascii="Arial" w:eastAsia="Times New Roman" w:hAnsi="Arial" w:cs="Arial"/>
          <w:color w:val="333333"/>
          <w:sz w:val="24"/>
          <w:szCs w:val="24"/>
        </w:rPr>
        <w:t xml:space="preserve">Step one consists of submitting a completed </w:t>
      </w:r>
      <w:hyperlink r:id="rId9" w:history="1">
        <w:r w:rsidRPr="00E54000">
          <w:rPr>
            <w:rFonts w:ascii="Arial" w:eastAsia="Times New Roman" w:hAnsi="Arial" w:cs="Arial"/>
            <w:color w:val="009A92"/>
            <w:sz w:val="24"/>
            <w:szCs w:val="24"/>
            <w:u w:val="single"/>
          </w:rPr>
          <w:t>Book Proposal: Step 1 Form</w:t>
        </w:r>
      </w:hyperlink>
      <w:r w:rsidRPr="00E54000">
        <w:rPr>
          <w:rFonts w:ascii="Arial" w:eastAsia="Times New Roman" w:hAnsi="Arial" w:cs="Arial"/>
          <w:color w:val="333333"/>
          <w:sz w:val="24"/>
          <w:szCs w:val="24"/>
        </w:rPr>
        <w:t xml:space="preserve"> to </w:t>
      </w:r>
      <w:hyperlink r:id="rId10" w:history="1">
        <w:r w:rsidRPr="00E54000">
          <w:rPr>
            <w:rFonts w:ascii="Arial" w:eastAsia="Times New Roman" w:hAnsi="Arial" w:cs="Arial"/>
            <w:color w:val="009A92"/>
            <w:sz w:val="24"/>
            <w:szCs w:val="24"/>
            <w:u w:val="single"/>
          </w:rPr>
          <w:t>Martha Lara</w:t>
        </w:r>
      </w:hyperlink>
      <w:r w:rsidRPr="00E54000">
        <w:rPr>
          <w:rFonts w:ascii="Arial" w:eastAsia="Times New Roman" w:hAnsi="Arial" w:cs="Arial"/>
          <w:color w:val="333333"/>
          <w:sz w:val="24"/>
          <w:szCs w:val="24"/>
        </w:rPr>
        <w:t xml:space="preserve"> at MLA by December 31, 2018. If you are interested and have additional questions, please contact </w:t>
      </w:r>
      <w:hyperlink r:id="rId11" w:history="1">
        <w:r w:rsidRPr="00E54000">
          <w:rPr>
            <w:rFonts w:ascii="Arial" w:eastAsia="Times New Roman" w:hAnsi="Arial" w:cs="Arial"/>
            <w:color w:val="009A92"/>
            <w:sz w:val="24"/>
            <w:szCs w:val="24"/>
            <w:u w:val="single"/>
          </w:rPr>
          <w:t>Claire Joseph</w:t>
        </w:r>
      </w:hyperlink>
      <w:r w:rsidRPr="00E54000">
        <w:rPr>
          <w:rFonts w:ascii="Arial" w:eastAsia="Times New Roman" w:hAnsi="Arial" w:cs="Arial"/>
          <w:color w:val="333333"/>
          <w:sz w:val="24"/>
          <w:szCs w:val="24"/>
        </w:rPr>
        <w:t>, AHIP. At this time, the Books Panel is seeking an author or editor; chapter contributions cannot be considered until an editor has been chosen.</w:t>
      </w:r>
    </w:p>
    <w:p w14:paraId="02293CCD" w14:textId="77777777" w:rsidR="00E54000" w:rsidRPr="00E54000" w:rsidRDefault="00E54000" w:rsidP="00E54000">
      <w:pPr>
        <w:spacing w:after="150" w:line="240" w:lineRule="auto"/>
        <w:rPr>
          <w:rFonts w:ascii="Arial" w:eastAsia="Times New Roman" w:hAnsi="Arial" w:cs="Arial"/>
          <w:color w:val="333333"/>
          <w:sz w:val="24"/>
          <w:szCs w:val="24"/>
        </w:rPr>
      </w:pPr>
      <w:r w:rsidRPr="00E54000">
        <w:rPr>
          <w:rFonts w:ascii="Arial" w:eastAsia="Times New Roman" w:hAnsi="Arial" w:cs="Arial"/>
          <w:color w:val="333333"/>
          <w:sz w:val="24"/>
          <w:szCs w:val="24"/>
        </w:rPr>
        <w:t xml:space="preserve">For more information on the MLA publishing process, please visit </w:t>
      </w:r>
      <w:hyperlink r:id="rId12" w:history="1">
        <w:r w:rsidRPr="00E54000">
          <w:rPr>
            <w:rFonts w:ascii="Arial" w:eastAsia="Times New Roman" w:hAnsi="Arial" w:cs="Arial"/>
            <w:color w:val="009A92"/>
            <w:sz w:val="24"/>
            <w:szCs w:val="24"/>
            <w:u w:val="single"/>
          </w:rPr>
          <w:t>Publish a Book with MLA</w:t>
        </w:r>
      </w:hyperlink>
      <w:r w:rsidRPr="00E54000">
        <w:rPr>
          <w:rFonts w:ascii="Arial" w:eastAsia="Times New Roman" w:hAnsi="Arial" w:cs="Arial"/>
          <w:color w:val="333333"/>
          <w:sz w:val="24"/>
          <w:szCs w:val="24"/>
        </w:rPr>
        <w:t>.</w:t>
      </w:r>
    </w:p>
    <w:p w14:paraId="030E26DE" w14:textId="77777777" w:rsidR="00E54000" w:rsidRPr="00E54000" w:rsidRDefault="00E54000" w:rsidP="00E54000">
      <w:pPr>
        <w:spacing w:before="150" w:after="150" w:line="240" w:lineRule="auto"/>
        <w:outlineLvl w:val="3"/>
        <w:rPr>
          <w:rFonts w:ascii="Arial" w:eastAsia="Times New Roman" w:hAnsi="Arial" w:cs="Arial"/>
          <w:color w:val="333333"/>
          <w:sz w:val="24"/>
          <w:szCs w:val="24"/>
        </w:rPr>
      </w:pPr>
      <w:r w:rsidRPr="00E54000">
        <w:rPr>
          <w:rFonts w:ascii="Arial" w:eastAsia="Times New Roman" w:hAnsi="Arial" w:cs="Arial"/>
          <w:color w:val="333333"/>
          <w:sz w:val="24"/>
          <w:szCs w:val="24"/>
        </w:rPr>
        <w:t>Bibliography</w:t>
      </w:r>
    </w:p>
    <w:p w14:paraId="50F5D470" w14:textId="77777777" w:rsidR="00E54000" w:rsidRPr="00E54000" w:rsidRDefault="00E54000" w:rsidP="00E54000">
      <w:pPr>
        <w:numPr>
          <w:ilvl w:val="0"/>
          <w:numId w:val="6"/>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Henk M. Ecology, economy, equity: the path to a carbon-neutral library. ALA Editions; 2014.</w:t>
      </w:r>
    </w:p>
    <w:p w14:paraId="01E3A999" w14:textId="77777777" w:rsidR="00E54000" w:rsidRPr="00E54000" w:rsidRDefault="00E54000" w:rsidP="00E54000">
      <w:pPr>
        <w:numPr>
          <w:ilvl w:val="0"/>
          <w:numId w:val="6"/>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Kats G. Greening our built world: costs, benefits, and strategies. Washington, DC: Island Press; 2009. ProQuest ebrary; 20 Oct 2015.</w:t>
      </w:r>
    </w:p>
    <w:p w14:paraId="15EE0769" w14:textId="77777777" w:rsidR="00E54000" w:rsidRPr="00E54000" w:rsidRDefault="00E54000" w:rsidP="00E54000">
      <w:pPr>
        <w:numPr>
          <w:ilvl w:val="0"/>
          <w:numId w:val="6"/>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Shah S. Sustainable refurbishment. Somerset, NJ: John Wiley &amp; Sons; 2012. ProQuest ebrary; 20 Oct 2015.</w:t>
      </w:r>
    </w:p>
    <w:p w14:paraId="74F79CD2" w14:textId="77777777" w:rsidR="003E7807" w:rsidRPr="00E54000" w:rsidRDefault="00E54000">
      <w:pPr>
        <w:rPr>
          <w:rFonts w:ascii="Arial" w:hAnsi="Arial" w:cs="Arial"/>
          <w:sz w:val="24"/>
          <w:szCs w:val="24"/>
        </w:rPr>
      </w:pPr>
    </w:p>
    <w:sectPr w:rsidR="003E7807" w:rsidRPr="00E54000" w:rsidSect="007B18B2">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3F10"/>
    <w:multiLevelType w:val="multilevel"/>
    <w:tmpl w:val="119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A7BD1"/>
    <w:multiLevelType w:val="multilevel"/>
    <w:tmpl w:val="B41AD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B4DAA"/>
    <w:multiLevelType w:val="multilevel"/>
    <w:tmpl w:val="9574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1A1C8B"/>
    <w:multiLevelType w:val="multilevel"/>
    <w:tmpl w:val="793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665CC"/>
    <w:multiLevelType w:val="multilevel"/>
    <w:tmpl w:val="03F62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5743C"/>
    <w:multiLevelType w:val="multilevel"/>
    <w:tmpl w:val="E1A6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00"/>
    <w:rsid w:val="00344CF3"/>
    <w:rsid w:val="007B18B2"/>
    <w:rsid w:val="00AC6786"/>
    <w:rsid w:val="00E5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B801"/>
  <w15:chartTrackingRefBased/>
  <w15:docId w15:val="{A6143256-C543-4665-9956-3B9B2664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54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540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00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5400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54000"/>
    <w:rPr>
      <w:color w:val="0000FF"/>
      <w:u w:val="single"/>
    </w:rPr>
  </w:style>
  <w:style w:type="paragraph" w:styleId="NormalWeb">
    <w:name w:val="Normal (Web)"/>
    <w:basedOn w:val="Normal"/>
    <w:uiPriority w:val="99"/>
    <w:semiHidden/>
    <w:unhideWhenUsed/>
    <w:rsid w:val="00E540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67724">
      <w:bodyDiv w:val="1"/>
      <w:marLeft w:val="0"/>
      <w:marRight w:val="0"/>
      <w:marTop w:val="0"/>
      <w:marBottom w:val="0"/>
      <w:divBdr>
        <w:top w:val="none" w:sz="0" w:space="0" w:color="auto"/>
        <w:left w:val="none" w:sz="0" w:space="0" w:color="auto"/>
        <w:bottom w:val="none" w:sz="0" w:space="0" w:color="auto"/>
        <w:right w:val="none" w:sz="0" w:space="0" w:color="auto"/>
      </w:divBdr>
      <w:divsChild>
        <w:div w:id="1287273869">
          <w:marLeft w:val="-75"/>
          <w:marRight w:val="-75"/>
          <w:marTop w:val="0"/>
          <w:marBottom w:val="0"/>
          <w:divBdr>
            <w:top w:val="none" w:sz="0" w:space="0" w:color="auto"/>
            <w:left w:val="none" w:sz="0" w:space="0" w:color="auto"/>
            <w:bottom w:val="single" w:sz="6" w:space="8" w:color="EEEEEE"/>
            <w:right w:val="none" w:sz="0" w:space="0" w:color="auto"/>
          </w:divBdr>
          <w:divsChild>
            <w:div w:id="1461453881">
              <w:marLeft w:val="0"/>
              <w:marRight w:val="0"/>
              <w:marTop w:val="0"/>
              <w:marBottom w:val="0"/>
              <w:divBdr>
                <w:top w:val="none" w:sz="0" w:space="0" w:color="auto"/>
                <w:left w:val="none" w:sz="0" w:space="0" w:color="auto"/>
                <w:bottom w:val="none" w:sz="0" w:space="0" w:color="auto"/>
                <w:right w:val="none" w:sz="0" w:space="0" w:color="auto"/>
              </w:divBdr>
              <w:divsChild>
                <w:div w:id="1956910537">
                  <w:marLeft w:val="-75"/>
                  <w:marRight w:val="-75"/>
                  <w:marTop w:val="0"/>
                  <w:marBottom w:val="0"/>
                  <w:divBdr>
                    <w:top w:val="none" w:sz="0" w:space="0" w:color="auto"/>
                    <w:left w:val="none" w:sz="0" w:space="0" w:color="auto"/>
                    <w:bottom w:val="none" w:sz="0" w:space="0" w:color="auto"/>
                    <w:right w:val="none" w:sz="0" w:space="0" w:color="auto"/>
                  </w:divBdr>
                  <w:divsChild>
                    <w:div w:id="425275175">
                      <w:marLeft w:val="0"/>
                      <w:marRight w:val="0"/>
                      <w:marTop w:val="0"/>
                      <w:marBottom w:val="0"/>
                      <w:divBdr>
                        <w:top w:val="none" w:sz="0" w:space="0" w:color="auto"/>
                        <w:left w:val="none" w:sz="0" w:space="0" w:color="auto"/>
                        <w:bottom w:val="none" w:sz="0" w:space="0" w:color="auto"/>
                        <w:right w:val="none" w:sz="0" w:space="0" w:color="auto"/>
                      </w:divBdr>
                    </w:div>
                    <w:div w:id="2328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3837">
              <w:marLeft w:val="0"/>
              <w:marRight w:val="0"/>
              <w:marTop w:val="0"/>
              <w:marBottom w:val="0"/>
              <w:divBdr>
                <w:top w:val="none" w:sz="0" w:space="0" w:color="auto"/>
                <w:left w:val="none" w:sz="0" w:space="0" w:color="auto"/>
                <w:bottom w:val="none" w:sz="0" w:space="0" w:color="auto"/>
                <w:right w:val="none" w:sz="0" w:space="0" w:color="auto"/>
              </w:divBdr>
              <w:divsChild>
                <w:div w:id="15998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lanet.org/p/cm/ld/fid=1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joseph@snch.org?subject=Green%20Libraries%20and%20Library%20Spaces" TargetMode="External"/><Relationship Id="rId5" Type="http://schemas.openxmlformats.org/officeDocument/2006/relationships/styles" Target="styles.xml"/><Relationship Id="rId10" Type="http://schemas.openxmlformats.org/officeDocument/2006/relationships/hyperlink" Target="mailto:lara@mail.mlahq.org?subject=Green%20Libraries%20and%20Library%20Spaces" TargetMode="External"/><Relationship Id="rId4" Type="http://schemas.openxmlformats.org/officeDocument/2006/relationships/numbering" Target="numbering.xml"/><Relationship Id="rId9" Type="http://schemas.openxmlformats.org/officeDocument/2006/relationships/hyperlink" Target="https://www.mlanet.org/d/do/129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6" ma:contentTypeDescription="Create a new document." ma:contentTypeScope="" ma:versionID="a966d6034b68f379060db93f8e580828">
  <xsd:schema xmlns:xsd="http://www.w3.org/2001/XMLSchema" xmlns:xs="http://www.w3.org/2001/XMLSchema" xmlns:p="http://schemas.microsoft.com/office/2006/metadata/properties" xmlns:ns2="1dbb4f9a-b4d1-484a-af68-baf38016de55" targetNamespace="http://schemas.microsoft.com/office/2006/metadata/properties" ma:root="true" ma:fieldsID="7c0907ec85a8aebc8afd3d804c6a8bbc" ns2:_="">
    <xsd:import namespace="1dbb4f9a-b4d1-484a-af68-baf38016d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FDEFA-05EF-4AFF-8849-92B35AE4A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321C5-8250-48C9-8303-1429F56DD381}">
  <ds:schemaRefs>
    <ds:schemaRef ds:uri="http://schemas.microsoft.com/sharepoint/v3/contenttype/forms"/>
  </ds:schemaRefs>
</ds:datastoreItem>
</file>

<file path=customXml/itemProps3.xml><?xml version="1.0" encoding="utf-8"?>
<ds:datastoreItem xmlns:ds="http://schemas.openxmlformats.org/officeDocument/2006/customXml" ds:itemID="{8BCBA210-E55B-45C6-84CB-38DF352033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dbb4f9a-b4d1-484a-af68-baf38016de5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Lara</dc:creator>
  <cp:keywords/>
  <dc:description/>
  <cp:lastModifiedBy>Martha Lara</cp:lastModifiedBy>
  <cp:revision>1</cp:revision>
  <dcterms:created xsi:type="dcterms:W3CDTF">2019-01-18T15:48:00Z</dcterms:created>
  <dcterms:modified xsi:type="dcterms:W3CDTF">2019-01-18T15:51:00Z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ies>
</file>